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E88F" w14:textId="352D15D1" w:rsidR="003B27ED" w:rsidRPr="0092196E" w:rsidRDefault="003B27ED" w:rsidP="00BC0D8A">
      <w:pPr>
        <w:jc w:val="center"/>
        <w:rPr>
          <w:rFonts w:ascii="Arial" w:hAnsi="Arial" w:cs="Arial"/>
          <w:b/>
          <w:color w:val="001999"/>
        </w:rPr>
      </w:pPr>
      <w:r w:rsidRPr="0092196E">
        <w:rPr>
          <w:rFonts w:ascii="Arial" w:hAnsi="Arial" w:cs="Arial"/>
          <w:b/>
          <w:color w:val="001999"/>
        </w:rPr>
        <w:t>Tennessee Aviation System Plan</w:t>
      </w:r>
      <w:r w:rsidR="00C91CAE">
        <w:rPr>
          <w:rFonts w:ascii="Arial" w:hAnsi="Arial" w:cs="Arial"/>
          <w:b/>
          <w:color w:val="001999"/>
        </w:rPr>
        <w:t xml:space="preserve"> (TASP)</w:t>
      </w:r>
      <w:r w:rsidRPr="0092196E">
        <w:rPr>
          <w:rFonts w:ascii="Arial" w:hAnsi="Arial" w:cs="Arial"/>
          <w:b/>
          <w:color w:val="001999"/>
        </w:rPr>
        <w:t xml:space="preserve"> and Economic Impact Study</w:t>
      </w:r>
    </w:p>
    <w:p w14:paraId="5086E890" w14:textId="0E6D51D4" w:rsidR="007928E2" w:rsidRPr="0092196E" w:rsidRDefault="003B27ED" w:rsidP="00BC0D8A">
      <w:pPr>
        <w:jc w:val="center"/>
        <w:rPr>
          <w:rFonts w:ascii="Arial" w:hAnsi="Arial" w:cs="Arial"/>
          <w:color w:val="001999"/>
          <w:sz w:val="20"/>
        </w:rPr>
      </w:pPr>
      <w:r w:rsidRPr="0092196E">
        <w:rPr>
          <w:rFonts w:ascii="Arial" w:hAnsi="Arial" w:cs="Arial"/>
          <w:color w:val="001999"/>
          <w:sz w:val="20"/>
        </w:rPr>
        <w:t>TDOT Aeronautics Division</w:t>
      </w:r>
      <w:r w:rsidR="00C148DD" w:rsidRPr="0092196E">
        <w:rPr>
          <w:rFonts w:ascii="Arial" w:hAnsi="Arial" w:cs="Arial"/>
          <w:color w:val="001999"/>
          <w:sz w:val="20"/>
        </w:rPr>
        <w:t xml:space="preserve"> A</w:t>
      </w:r>
      <w:r w:rsidR="007928E2" w:rsidRPr="0092196E">
        <w:rPr>
          <w:rFonts w:ascii="Arial" w:hAnsi="Arial" w:cs="Arial"/>
          <w:color w:val="001999"/>
          <w:sz w:val="20"/>
        </w:rPr>
        <w:t xml:space="preserve">dvisory Committee </w:t>
      </w:r>
      <w:r w:rsidR="00C148DD" w:rsidRPr="0092196E">
        <w:rPr>
          <w:rFonts w:ascii="Arial" w:hAnsi="Arial" w:cs="Arial"/>
          <w:color w:val="001999"/>
          <w:sz w:val="20"/>
        </w:rPr>
        <w:t>Meeting</w:t>
      </w:r>
    </w:p>
    <w:p w14:paraId="5086E891" w14:textId="0ADA12A5" w:rsidR="003B27ED" w:rsidRPr="0092196E" w:rsidRDefault="0065064A" w:rsidP="00BC0D8A">
      <w:pPr>
        <w:jc w:val="center"/>
        <w:rPr>
          <w:rFonts w:ascii="Arial" w:hAnsi="Arial" w:cs="Arial"/>
          <w:color w:val="001999"/>
          <w:sz w:val="20"/>
        </w:rPr>
      </w:pPr>
      <w:r>
        <w:rPr>
          <w:rFonts w:ascii="Arial" w:hAnsi="Arial" w:cs="Arial"/>
          <w:color w:val="001999"/>
          <w:sz w:val="20"/>
        </w:rPr>
        <w:t>Thursday, March 25, 2021</w:t>
      </w:r>
    </w:p>
    <w:p w14:paraId="5086E892" w14:textId="1336CBCF" w:rsidR="007928E2" w:rsidRPr="0092196E" w:rsidRDefault="0099429E">
      <w:pPr>
        <w:rPr>
          <w:rFonts w:ascii="Arial" w:hAnsi="Arial" w:cs="Arial"/>
          <w:b/>
          <w:color w:val="001999"/>
        </w:rPr>
      </w:pPr>
      <w:r>
        <w:rPr>
          <w:rFonts w:ascii="Arial" w:hAnsi="Arial" w:cs="Arial"/>
          <w:b/>
          <w:color w:val="001999"/>
        </w:rPr>
        <w:t>Attendees</w:t>
      </w:r>
    </w:p>
    <w:p w14:paraId="5086E893" w14:textId="77777777" w:rsidR="00BC0D8A" w:rsidRPr="0092196E" w:rsidRDefault="00BC0D8A" w:rsidP="009E17A3">
      <w:pPr>
        <w:rPr>
          <w:rFonts w:ascii="Arial" w:hAnsi="Arial" w:cs="Arial"/>
          <w:sz w:val="20"/>
        </w:rPr>
        <w:sectPr w:rsidR="00BC0D8A" w:rsidRPr="0092196E">
          <w:headerReference w:type="default" r:id="rId13"/>
          <w:footerReference w:type="default" r:id="rId14"/>
          <w:pgSz w:w="12240" w:h="15840"/>
          <w:pgMar w:top="1440" w:right="1440" w:bottom="1440" w:left="1440" w:header="720" w:footer="720" w:gutter="0"/>
          <w:cols w:space="720"/>
          <w:docGrid w:linePitch="360"/>
        </w:sectPr>
      </w:pPr>
    </w:p>
    <w:p w14:paraId="5086E899" w14:textId="037F9EEE" w:rsidR="009E17A3" w:rsidRPr="004E64A7" w:rsidRDefault="009E17A3" w:rsidP="00BF3CBF">
      <w:pPr>
        <w:pStyle w:val="ListParagraph"/>
        <w:numPr>
          <w:ilvl w:val="0"/>
          <w:numId w:val="17"/>
        </w:numPr>
        <w:rPr>
          <w:rFonts w:ascii="Arial" w:hAnsi="Arial" w:cs="Arial"/>
          <w:sz w:val="20"/>
        </w:rPr>
      </w:pPr>
      <w:r w:rsidRPr="004E64A7">
        <w:rPr>
          <w:rFonts w:ascii="Arial" w:hAnsi="Arial" w:cs="Arial"/>
          <w:sz w:val="20"/>
        </w:rPr>
        <w:t>Michelle Frazier, TDOT</w:t>
      </w:r>
      <w:r w:rsidR="0092196E" w:rsidRPr="004E64A7">
        <w:rPr>
          <w:rFonts w:ascii="Arial" w:hAnsi="Arial" w:cs="Arial"/>
          <w:sz w:val="20"/>
        </w:rPr>
        <w:t xml:space="preserve"> </w:t>
      </w:r>
      <w:r w:rsidRPr="004E64A7">
        <w:rPr>
          <w:rFonts w:ascii="Arial" w:hAnsi="Arial" w:cs="Arial"/>
          <w:sz w:val="20"/>
        </w:rPr>
        <w:t>Aeronautics Division</w:t>
      </w:r>
      <w:r w:rsidRPr="004E64A7">
        <w:rPr>
          <w:rFonts w:ascii="Arial" w:hAnsi="Arial" w:cs="Arial"/>
          <w:sz w:val="20"/>
        </w:rPr>
        <w:tab/>
      </w:r>
    </w:p>
    <w:p w14:paraId="4F794542" w14:textId="36181D0C" w:rsidR="000C5FE4" w:rsidRPr="004E64A7" w:rsidRDefault="000C5FE4" w:rsidP="00BF3CBF">
      <w:pPr>
        <w:pStyle w:val="ListParagraph"/>
        <w:numPr>
          <w:ilvl w:val="0"/>
          <w:numId w:val="17"/>
        </w:numPr>
        <w:rPr>
          <w:rFonts w:ascii="Arial" w:hAnsi="Arial" w:cs="Arial"/>
          <w:sz w:val="20"/>
        </w:rPr>
      </w:pPr>
      <w:r w:rsidRPr="004E64A7">
        <w:rPr>
          <w:rFonts w:ascii="Arial" w:hAnsi="Arial" w:cs="Arial"/>
          <w:sz w:val="20"/>
        </w:rPr>
        <w:t>Evan Lester, TDOT Aeronautics Division</w:t>
      </w:r>
    </w:p>
    <w:p w14:paraId="5086E89A" w14:textId="291BA875" w:rsidR="009E17A3" w:rsidRPr="004E64A7" w:rsidRDefault="009E17A3" w:rsidP="00BF3CBF">
      <w:pPr>
        <w:pStyle w:val="ListParagraph"/>
        <w:numPr>
          <w:ilvl w:val="0"/>
          <w:numId w:val="17"/>
        </w:numPr>
        <w:rPr>
          <w:rFonts w:ascii="Arial" w:hAnsi="Arial" w:cs="Arial"/>
          <w:sz w:val="20"/>
        </w:rPr>
      </w:pPr>
      <w:r w:rsidRPr="004E64A7">
        <w:rPr>
          <w:rFonts w:ascii="Arial" w:hAnsi="Arial" w:cs="Arial"/>
          <w:sz w:val="20"/>
        </w:rPr>
        <w:t xml:space="preserve">John Paul Saalwaechter, </w:t>
      </w:r>
      <w:r w:rsidR="00133F40">
        <w:rPr>
          <w:rFonts w:ascii="Arial" w:hAnsi="Arial" w:cs="Arial"/>
          <w:sz w:val="20"/>
        </w:rPr>
        <w:t xml:space="preserve">P.E., </w:t>
      </w:r>
      <w:r w:rsidRPr="004E64A7">
        <w:rPr>
          <w:rFonts w:ascii="Arial" w:hAnsi="Arial" w:cs="Arial"/>
          <w:sz w:val="20"/>
        </w:rPr>
        <w:t>TDOT</w:t>
      </w:r>
      <w:r w:rsidR="0092196E" w:rsidRPr="004E64A7">
        <w:rPr>
          <w:rFonts w:ascii="Arial" w:hAnsi="Arial" w:cs="Arial"/>
          <w:sz w:val="20"/>
        </w:rPr>
        <w:t xml:space="preserve"> </w:t>
      </w:r>
      <w:r w:rsidRPr="004E64A7">
        <w:rPr>
          <w:rFonts w:ascii="Arial" w:hAnsi="Arial" w:cs="Arial"/>
          <w:sz w:val="20"/>
        </w:rPr>
        <w:t>Aeronautics Division</w:t>
      </w:r>
      <w:r w:rsidRPr="004E64A7">
        <w:rPr>
          <w:rFonts w:ascii="Arial" w:hAnsi="Arial" w:cs="Arial"/>
          <w:sz w:val="20"/>
        </w:rPr>
        <w:tab/>
      </w:r>
    </w:p>
    <w:p w14:paraId="5086E89C" w14:textId="037232F2" w:rsidR="002B5D48" w:rsidRPr="004E64A7" w:rsidRDefault="009E17A3" w:rsidP="00194319">
      <w:pPr>
        <w:pStyle w:val="ListParagraph"/>
        <w:numPr>
          <w:ilvl w:val="0"/>
          <w:numId w:val="17"/>
        </w:numPr>
        <w:rPr>
          <w:rFonts w:ascii="Arial" w:hAnsi="Arial" w:cs="Arial"/>
          <w:sz w:val="20"/>
        </w:rPr>
      </w:pPr>
      <w:r w:rsidRPr="004E64A7">
        <w:rPr>
          <w:rFonts w:ascii="Arial" w:hAnsi="Arial" w:cs="Arial"/>
          <w:sz w:val="20"/>
        </w:rPr>
        <w:t>Lyle Monroe, TDOT</w:t>
      </w:r>
      <w:r w:rsidR="0092196E" w:rsidRPr="004E64A7">
        <w:rPr>
          <w:rFonts w:ascii="Arial" w:hAnsi="Arial" w:cs="Arial"/>
          <w:sz w:val="20"/>
        </w:rPr>
        <w:t xml:space="preserve"> </w:t>
      </w:r>
      <w:r w:rsidRPr="004E64A7">
        <w:rPr>
          <w:rFonts w:ascii="Arial" w:hAnsi="Arial" w:cs="Arial"/>
          <w:sz w:val="20"/>
        </w:rPr>
        <w:t>Aeronautics Division</w:t>
      </w:r>
      <w:r w:rsidRPr="004E64A7">
        <w:rPr>
          <w:rFonts w:ascii="Arial" w:hAnsi="Arial" w:cs="Arial"/>
          <w:sz w:val="20"/>
        </w:rPr>
        <w:tab/>
      </w:r>
    </w:p>
    <w:p w14:paraId="5086E89F" w14:textId="526672BD" w:rsidR="009E17A3" w:rsidRPr="00E10969" w:rsidRDefault="009E17A3" w:rsidP="00E10969">
      <w:pPr>
        <w:pStyle w:val="ListParagraph"/>
        <w:numPr>
          <w:ilvl w:val="0"/>
          <w:numId w:val="17"/>
        </w:numPr>
        <w:rPr>
          <w:rFonts w:ascii="Arial" w:hAnsi="Arial" w:cs="Arial"/>
          <w:sz w:val="20"/>
        </w:rPr>
      </w:pPr>
      <w:r w:rsidRPr="004E64A7">
        <w:rPr>
          <w:rFonts w:ascii="Arial" w:hAnsi="Arial" w:cs="Arial"/>
          <w:sz w:val="20"/>
        </w:rPr>
        <w:t>Jacob Brooks, P.E., TDOT Aeronautics Division</w:t>
      </w:r>
      <w:r w:rsidRPr="004E64A7">
        <w:rPr>
          <w:rFonts w:ascii="Arial" w:hAnsi="Arial" w:cs="Arial"/>
          <w:sz w:val="20"/>
        </w:rPr>
        <w:tab/>
      </w:r>
    </w:p>
    <w:p w14:paraId="5086E8A0" w14:textId="49251F3D" w:rsidR="009E17A3" w:rsidRDefault="009E17A3" w:rsidP="00BF3CBF">
      <w:pPr>
        <w:pStyle w:val="ListParagraph"/>
        <w:numPr>
          <w:ilvl w:val="0"/>
          <w:numId w:val="17"/>
        </w:numPr>
        <w:rPr>
          <w:rFonts w:ascii="Arial" w:hAnsi="Arial" w:cs="Arial"/>
          <w:sz w:val="20"/>
        </w:rPr>
      </w:pPr>
      <w:r w:rsidRPr="004E64A7">
        <w:rPr>
          <w:rFonts w:ascii="Arial" w:hAnsi="Arial" w:cs="Arial"/>
          <w:sz w:val="20"/>
        </w:rPr>
        <w:t>Anna Walker, TDOT</w:t>
      </w:r>
      <w:r w:rsidR="0092196E" w:rsidRPr="004E64A7">
        <w:rPr>
          <w:rFonts w:ascii="Arial" w:hAnsi="Arial" w:cs="Arial"/>
          <w:sz w:val="20"/>
        </w:rPr>
        <w:t xml:space="preserve"> </w:t>
      </w:r>
      <w:r w:rsidRPr="004E64A7">
        <w:rPr>
          <w:rFonts w:ascii="Arial" w:hAnsi="Arial" w:cs="Arial"/>
          <w:sz w:val="20"/>
        </w:rPr>
        <w:t>Aeronautics Division</w:t>
      </w:r>
      <w:r w:rsidRPr="004E64A7">
        <w:rPr>
          <w:rFonts w:ascii="Arial" w:hAnsi="Arial" w:cs="Arial"/>
          <w:sz w:val="20"/>
        </w:rPr>
        <w:tab/>
      </w:r>
    </w:p>
    <w:p w14:paraId="302C38D5" w14:textId="6BBFFA2A" w:rsidR="005721C9" w:rsidRDefault="005721C9" w:rsidP="00BF3CBF">
      <w:pPr>
        <w:pStyle w:val="ListParagraph"/>
        <w:numPr>
          <w:ilvl w:val="0"/>
          <w:numId w:val="17"/>
        </w:numPr>
        <w:rPr>
          <w:rFonts w:ascii="Arial" w:hAnsi="Arial" w:cs="Arial"/>
          <w:sz w:val="20"/>
        </w:rPr>
      </w:pPr>
      <w:r>
        <w:rPr>
          <w:rFonts w:ascii="Arial" w:hAnsi="Arial" w:cs="Arial"/>
          <w:sz w:val="20"/>
        </w:rPr>
        <w:t>Alexandria Lundberg, TDOT Aeronautics Division</w:t>
      </w:r>
    </w:p>
    <w:p w14:paraId="3EED17D7" w14:textId="7197F522" w:rsidR="00C12FBC" w:rsidRDefault="00C12FBC" w:rsidP="00BF3CBF">
      <w:pPr>
        <w:pStyle w:val="ListParagraph"/>
        <w:numPr>
          <w:ilvl w:val="0"/>
          <w:numId w:val="17"/>
        </w:numPr>
        <w:rPr>
          <w:rFonts w:ascii="Arial" w:hAnsi="Arial" w:cs="Arial"/>
          <w:sz w:val="20"/>
        </w:rPr>
      </w:pPr>
      <w:proofErr w:type="spellStart"/>
      <w:r>
        <w:rPr>
          <w:rFonts w:ascii="Arial" w:hAnsi="Arial" w:cs="Arial"/>
          <w:sz w:val="20"/>
        </w:rPr>
        <w:t>Kabrina</w:t>
      </w:r>
      <w:proofErr w:type="spellEnd"/>
      <w:r>
        <w:rPr>
          <w:rFonts w:ascii="Arial" w:hAnsi="Arial" w:cs="Arial"/>
          <w:sz w:val="20"/>
        </w:rPr>
        <w:t xml:space="preserve"> Webb</w:t>
      </w:r>
      <w:r w:rsidR="00807489">
        <w:rPr>
          <w:rFonts w:ascii="Arial" w:hAnsi="Arial" w:cs="Arial"/>
          <w:sz w:val="20"/>
        </w:rPr>
        <w:t>, TDOT Aeronautics Division</w:t>
      </w:r>
    </w:p>
    <w:p w14:paraId="6DA40565" w14:textId="6E03502F" w:rsidR="00807489" w:rsidRDefault="00807489" w:rsidP="00BF3CBF">
      <w:pPr>
        <w:pStyle w:val="ListParagraph"/>
        <w:numPr>
          <w:ilvl w:val="0"/>
          <w:numId w:val="17"/>
        </w:numPr>
        <w:rPr>
          <w:rFonts w:ascii="Arial" w:hAnsi="Arial" w:cs="Arial"/>
          <w:sz w:val="20"/>
        </w:rPr>
      </w:pPr>
      <w:r>
        <w:rPr>
          <w:rFonts w:ascii="Arial" w:hAnsi="Arial" w:cs="Arial"/>
          <w:sz w:val="20"/>
        </w:rPr>
        <w:t xml:space="preserve">Erin </w:t>
      </w:r>
      <w:proofErr w:type="spellStart"/>
      <w:r>
        <w:rPr>
          <w:rFonts w:ascii="Arial" w:hAnsi="Arial" w:cs="Arial"/>
          <w:sz w:val="20"/>
        </w:rPr>
        <w:t>Mcdougal</w:t>
      </w:r>
      <w:proofErr w:type="spellEnd"/>
      <w:r>
        <w:rPr>
          <w:rFonts w:ascii="Arial" w:hAnsi="Arial" w:cs="Arial"/>
          <w:sz w:val="20"/>
        </w:rPr>
        <w:t>, TDOT Aeronautics Division</w:t>
      </w:r>
    </w:p>
    <w:p w14:paraId="10280D91" w14:textId="3EF7FAA9" w:rsidR="00807489" w:rsidRPr="004E64A7" w:rsidRDefault="00807489" w:rsidP="00BF3CBF">
      <w:pPr>
        <w:pStyle w:val="ListParagraph"/>
        <w:numPr>
          <w:ilvl w:val="0"/>
          <w:numId w:val="17"/>
        </w:numPr>
        <w:rPr>
          <w:rFonts w:ascii="Arial" w:hAnsi="Arial" w:cs="Arial"/>
          <w:sz w:val="20"/>
        </w:rPr>
      </w:pPr>
      <w:r>
        <w:rPr>
          <w:rFonts w:ascii="Arial" w:hAnsi="Arial" w:cs="Arial"/>
          <w:sz w:val="20"/>
        </w:rPr>
        <w:t>Stephanie Saloom, TDOT Aeronautics Division</w:t>
      </w:r>
    </w:p>
    <w:p w14:paraId="7228B55B" w14:textId="77777777" w:rsidR="003C34BF" w:rsidRDefault="009E17A3" w:rsidP="00A340C6">
      <w:pPr>
        <w:pStyle w:val="ListParagraph"/>
        <w:numPr>
          <w:ilvl w:val="0"/>
          <w:numId w:val="17"/>
        </w:numPr>
        <w:rPr>
          <w:rFonts w:ascii="Arial" w:hAnsi="Arial" w:cs="Arial"/>
          <w:sz w:val="20"/>
        </w:rPr>
      </w:pPr>
      <w:r w:rsidRPr="004E64A7">
        <w:rPr>
          <w:rFonts w:ascii="Arial" w:hAnsi="Arial" w:cs="Arial"/>
          <w:sz w:val="20"/>
        </w:rPr>
        <w:t>John Briggs, TDOT</w:t>
      </w:r>
      <w:r w:rsidR="0092196E" w:rsidRPr="004E64A7">
        <w:rPr>
          <w:rFonts w:ascii="Arial" w:hAnsi="Arial" w:cs="Arial"/>
          <w:sz w:val="20"/>
        </w:rPr>
        <w:t xml:space="preserve"> </w:t>
      </w:r>
      <w:r w:rsidRPr="004E64A7">
        <w:rPr>
          <w:rFonts w:ascii="Arial" w:hAnsi="Arial" w:cs="Arial"/>
          <w:sz w:val="20"/>
        </w:rPr>
        <w:t>Aeronautics Division</w:t>
      </w:r>
    </w:p>
    <w:p w14:paraId="112E2DFF" w14:textId="72FEF42C" w:rsidR="00E25061" w:rsidRDefault="003C34BF" w:rsidP="00A340C6">
      <w:pPr>
        <w:pStyle w:val="ListParagraph"/>
        <w:numPr>
          <w:ilvl w:val="0"/>
          <w:numId w:val="17"/>
        </w:numPr>
        <w:rPr>
          <w:rFonts w:ascii="Arial" w:hAnsi="Arial" w:cs="Arial"/>
          <w:sz w:val="20"/>
        </w:rPr>
      </w:pPr>
      <w:r>
        <w:rPr>
          <w:rFonts w:ascii="Arial" w:hAnsi="Arial" w:cs="Arial"/>
          <w:sz w:val="20"/>
        </w:rPr>
        <w:t>Jamal Stovall, FAA</w:t>
      </w:r>
      <w:r w:rsidR="009E17A3" w:rsidRPr="004E64A7">
        <w:rPr>
          <w:rFonts w:ascii="Arial" w:hAnsi="Arial" w:cs="Arial"/>
          <w:sz w:val="20"/>
        </w:rPr>
        <w:tab/>
      </w:r>
    </w:p>
    <w:p w14:paraId="7584B700" w14:textId="7AA872F7" w:rsidR="00A340C6" w:rsidRDefault="00A340C6" w:rsidP="00A340C6">
      <w:pPr>
        <w:pStyle w:val="ListParagraph"/>
        <w:numPr>
          <w:ilvl w:val="0"/>
          <w:numId w:val="17"/>
        </w:numPr>
        <w:rPr>
          <w:rFonts w:ascii="Arial" w:hAnsi="Arial" w:cs="Arial"/>
          <w:sz w:val="20"/>
        </w:rPr>
      </w:pPr>
      <w:r w:rsidRPr="0092196E">
        <w:rPr>
          <w:rFonts w:ascii="Arial" w:hAnsi="Arial" w:cs="Arial"/>
          <w:sz w:val="20"/>
        </w:rPr>
        <w:t>Kirk Huddleston, Tennessee Aeronautics Commission</w:t>
      </w:r>
    </w:p>
    <w:p w14:paraId="2B4F6BD6" w14:textId="62AA7CB2" w:rsidR="00A340C6" w:rsidRDefault="00A340C6" w:rsidP="00A340C6">
      <w:pPr>
        <w:pStyle w:val="ListParagraph"/>
        <w:numPr>
          <w:ilvl w:val="0"/>
          <w:numId w:val="17"/>
        </w:numPr>
        <w:rPr>
          <w:rFonts w:ascii="Arial" w:hAnsi="Arial" w:cs="Arial"/>
          <w:sz w:val="20"/>
        </w:rPr>
      </w:pPr>
      <w:r w:rsidRPr="0092196E">
        <w:rPr>
          <w:rFonts w:ascii="Arial" w:hAnsi="Arial" w:cs="Arial"/>
          <w:sz w:val="20"/>
        </w:rPr>
        <w:t>George Huddleston, Tennessee Aeronautics Commission</w:t>
      </w:r>
    </w:p>
    <w:p w14:paraId="417EB44C" w14:textId="72968F8C" w:rsidR="00302EAD" w:rsidRPr="00A340C6" w:rsidRDefault="00302EAD" w:rsidP="00A340C6">
      <w:pPr>
        <w:pStyle w:val="ListParagraph"/>
        <w:numPr>
          <w:ilvl w:val="0"/>
          <w:numId w:val="17"/>
        </w:numPr>
        <w:rPr>
          <w:rFonts w:ascii="Arial" w:hAnsi="Arial" w:cs="Arial"/>
          <w:sz w:val="20"/>
        </w:rPr>
      </w:pPr>
      <w:r>
        <w:rPr>
          <w:rFonts w:ascii="Arial" w:hAnsi="Arial" w:cs="Arial"/>
          <w:sz w:val="20"/>
        </w:rPr>
        <w:t>Butch West, Tennessee Aeronautics Commission</w:t>
      </w:r>
    </w:p>
    <w:p w14:paraId="3995DD60" w14:textId="2923DE9B" w:rsidR="008F5A4C" w:rsidRPr="004E64A7" w:rsidRDefault="008F5A4C" w:rsidP="00BF3CBF">
      <w:pPr>
        <w:pStyle w:val="ListParagraph"/>
        <w:numPr>
          <w:ilvl w:val="0"/>
          <w:numId w:val="17"/>
        </w:numPr>
        <w:rPr>
          <w:rFonts w:ascii="Arial" w:hAnsi="Arial" w:cs="Arial"/>
          <w:sz w:val="20"/>
        </w:rPr>
      </w:pPr>
      <w:r w:rsidRPr="004E64A7">
        <w:rPr>
          <w:rFonts w:ascii="Arial" w:hAnsi="Arial" w:cs="Arial"/>
          <w:sz w:val="20"/>
        </w:rPr>
        <w:t>Patrick Wilson, McGhee Tyson Airport</w:t>
      </w:r>
    </w:p>
    <w:p w14:paraId="5086E8A6" w14:textId="45ECFD90" w:rsidR="009E17A3" w:rsidRPr="00836DAC" w:rsidRDefault="009E17A3" w:rsidP="00836DAC">
      <w:pPr>
        <w:pStyle w:val="ListParagraph"/>
        <w:numPr>
          <w:ilvl w:val="0"/>
          <w:numId w:val="17"/>
        </w:numPr>
        <w:rPr>
          <w:rFonts w:ascii="Arial" w:hAnsi="Arial" w:cs="Arial"/>
          <w:sz w:val="20"/>
        </w:rPr>
      </w:pPr>
      <w:r w:rsidRPr="004E64A7">
        <w:rPr>
          <w:rFonts w:ascii="Arial" w:hAnsi="Arial" w:cs="Arial"/>
          <w:sz w:val="20"/>
        </w:rPr>
        <w:t>Roy Remington, Millington</w:t>
      </w:r>
      <w:r w:rsidR="00BA11C7">
        <w:rPr>
          <w:rFonts w:ascii="Arial" w:hAnsi="Arial" w:cs="Arial"/>
          <w:sz w:val="20"/>
        </w:rPr>
        <w:t xml:space="preserve"> – Memphis </w:t>
      </w:r>
      <w:r w:rsidRPr="004E64A7">
        <w:rPr>
          <w:rFonts w:ascii="Arial" w:hAnsi="Arial" w:cs="Arial"/>
          <w:sz w:val="20"/>
        </w:rPr>
        <w:t xml:space="preserve"> Airport</w:t>
      </w:r>
    </w:p>
    <w:p w14:paraId="5089392C" w14:textId="4EDEB152" w:rsidR="0038349D" w:rsidRDefault="006509A6" w:rsidP="00A340C6">
      <w:pPr>
        <w:pStyle w:val="ListParagraph"/>
        <w:numPr>
          <w:ilvl w:val="0"/>
          <w:numId w:val="17"/>
        </w:numPr>
        <w:rPr>
          <w:rFonts w:ascii="Arial" w:hAnsi="Arial" w:cs="Arial"/>
          <w:sz w:val="20"/>
        </w:rPr>
      </w:pPr>
      <w:r w:rsidRPr="004E64A7">
        <w:rPr>
          <w:rFonts w:ascii="Arial" w:hAnsi="Arial" w:cs="Arial"/>
          <w:sz w:val="20"/>
        </w:rPr>
        <w:t xml:space="preserve">Doug </w:t>
      </w:r>
      <w:proofErr w:type="spellStart"/>
      <w:r w:rsidRPr="004E64A7">
        <w:rPr>
          <w:rFonts w:ascii="Arial" w:hAnsi="Arial" w:cs="Arial"/>
          <w:sz w:val="20"/>
        </w:rPr>
        <w:t>Kibbey</w:t>
      </w:r>
      <w:proofErr w:type="spellEnd"/>
      <w:r w:rsidRPr="004E64A7">
        <w:rPr>
          <w:rFonts w:ascii="Arial" w:hAnsi="Arial" w:cs="Arial"/>
          <w:sz w:val="20"/>
        </w:rPr>
        <w:t>, C</w:t>
      </w:r>
      <w:r w:rsidR="00E25061" w:rsidRPr="004E64A7">
        <w:rPr>
          <w:rFonts w:ascii="Arial" w:hAnsi="Arial" w:cs="Arial"/>
          <w:sz w:val="20"/>
        </w:rPr>
        <w:t>lifton-Hassell Field</w:t>
      </w:r>
    </w:p>
    <w:p w14:paraId="5045830F" w14:textId="3658F00D" w:rsidR="0069420B" w:rsidRPr="00A340C6" w:rsidRDefault="0069420B" w:rsidP="00A340C6">
      <w:pPr>
        <w:pStyle w:val="ListParagraph"/>
        <w:numPr>
          <w:ilvl w:val="0"/>
          <w:numId w:val="17"/>
        </w:numPr>
        <w:rPr>
          <w:rFonts w:ascii="Arial" w:hAnsi="Arial" w:cs="Arial"/>
          <w:sz w:val="20"/>
        </w:rPr>
      </w:pPr>
      <w:r>
        <w:rPr>
          <w:rFonts w:ascii="Arial" w:hAnsi="Arial" w:cs="Arial"/>
          <w:sz w:val="20"/>
        </w:rPr>
        <w:t>Dean Selby, Upper Cumberland Regional Airport</w:t>
      </w:r>
    </w:p>
    <w:p w14:paraId="5086E8A9" w14:textId="4FB579DC" w:rsidR="009E17A3" w:rsidRPr="00A340C6" w:rsidRDefault="009E17A3" w:rsidP="00A340C6">
      <w:pPr>
        <w:pStyle w:val="ListParagraph"/>
        <w:numPr>
          <w:ilvl w:val="0"/>
          <w:numId w:val="17"/>
        </w:numPr>
        <w:rPr>
          <w:rFonts w:ascii="Arial" w:hAnsi="Arial" w:cs="Arial"/>
          <w:sz w:val="20"/>
        </w:rPr>
      </w:pPr>
      <w:r w:rsidRPr="004E64A7">
        <w:rPr>
          <w:rFonts w:ascii="Arial" w:hAnsi="Arial" w:cs="Arial"/>
          <w:sz w:val="20"/>
        </w:rPr>
        <w:t>Pragati Srivastava, Memphis Metropolitan Planning Organization</w:t>
      </w:r>
      <w:r w:rsidRPr="00A340C6">
        <w:rPr>
          <w:rFonts w:ascii="Arial" w:hAnsi="Arial" w:cs="Arial"/>
          <w:sz w:val="20"/>
        </w:rPr>
        <w:tab/>
      </w:r>
    </w:p>
    <w:p w14:paraId="2E41F5E1" w14:textId="0800C300" w:rsidR="00381F56" w:rsidRDefault="00381F56" w:rsidP="00BF3CBF">
      <w:pPr>
        <w:pStyle w:val="ListParagraph"/>
        <w:numPr>
          <w:ilvl w:val="0"/>
          <w:numId w:val="17"/>
        </w:numPr>
        <w:rPr>
          <w:rFonts w:ascii="Arial" w:hAnsi="Arial" w:cs="Arial"/>
          <w:sz w:val="20"/>
        </w:rPr>
      </w:pPr>
      <w:r w:rsidRPr="004E64A7">
        <w:rPr>
          <w:rFonts w:ascii="Arial" w:hAnsi="Arial" w:cs="Arial"/>
          <w:sz w:val="20"/>
        </w:rPr>
        <w:t xml:space="preserve">Amy </w:t>
      </w:r>
      <w:proofErr w:type="spellStart"/>
      <w:r w:rsidRPr="004E64A7">
        <w:rPr>
          <w:rFonts w:ascii="Arial" w:hAnsi="Arial" w:cs="Arial"/>
          <w:sz w:val="20"/>
        </w:rPr>
        <w:t>Kosanovic</w:t>
      </w:r>
      <w:proofErr w:type="spellEnd"/>
      <w:r w:rsidRPr="004E64A7">
        <w:rPr>
          <w:rFonts w:ascii="Arial" w:hAnsi="Arial" w:cs="Arial"/>
          <w:sz w:val="20"/>
        </w:rPr>
        <w:t>,</w:t>
      </w:r>
      <w:r w:rsidR="008A5BB5" w:rsidRPr="004E64A7">
        <w:rPr>
          <w:rFonts w:ascii="Arial" w:hAnsi="Arial" w:cs="Arial"/>
          <w:sz w:val="20"/>
        </w:rPr>
        <w:t xml:space="preserve"> TDOT Freight Planning </w:t>
      </w:r>
    </w:p>
    <w:p w14:paraId="20459D23" w14:textId="0EAD5591" w:rsidR="00E06683" w:rsidRPr="004E64A7" w:rsidRDefault="00E06683" w:rsidP="00BF3CBF">
      <w:pPr>
        <w:pStyle w:val="ListParagraph"/>
        <w:numPr>
          <w:ilvl w:val="0"/>
          <w:numId w:val="17"/>
        </w:numPr>
        <w:rPr>
          <w:rFonts w:ascii="Arial" w:hAnsi="Arial" w:cs="Arial"/>
          <w:sz w:val="20"/>
        </w:rPr>
      </w:pPr>
      <w:r>
        <w:rPr>
          <w:rFonts w:ascii="Arial" w:hAnsi="Arial" w:cs="Arial"/>
          <w:sz w:val="20"/>
        </w:rPr>
        <w:t xml:space="preserve">David Lee, </w:t>
      </w:r>
      <w:r w:rsidR="00EA0DCB">
        <w:rPr>
          <w:rFonts w:ascii="Arial" w:hAnsi="Arial" w:cs="Arial"/>
          <w:sz w:val="20"/>
        </w:rPr>
        <w:t>TDOT Long Range Planning</w:t>
      </w:r>
    </w:p>
    <w:p w14:paraId="7FF628D4" w14:textId="62BF21BA" w:rsidR="0002229A" w:rsidRDefault="0002229A" w:rsidP="00BF3CBF">
      <w:pPr>
        <w:pStyle w:val="ListParagraph"/>
        <w:numPr>
          <w:ilvl w:val="0"/>
          <w:numId w:val="17"/>
        </w:numPr>
        <w:rPr>
          <w:rFonts w:ascii="Arial" w:hAnsi="Arial" w:cs="Arial"/>
          <w:sz w:val="20"/>
        </w:rPr>
      </w:pPr>
      <w:r w:rsidRPr="004E64A7">
        <w:rPr>
          <w:rFonts w:ascii="Arial" w:hAnsi="Arial" w:cs="Arial"/>
          <w:sz w:val="20"/>
        </w:rPr>
        <w:t xml:space="preserve">Danielle </w:t>
      </w:r>
      <w:proofErr w:type="spellStart"/>
      <w:r w:rsidRPr="004E64A7">
        <w:rPr>
          <w:rFonts w:ascii="Arial" w:hAnsi="Arial" w:cs="Arial"/>
          <w:sz w:val="20"/>
        </w:rPr>
        <w:t>Hagewood</w:t>
      </w:r>
      <w:proofErr w:type="spellEnd"/>
      <w:r w:rsidRPr="004E64A7">
        <w:rPr>
          <w:rFonts w:ascii="Arial" w:hAnsi="Arial" w:cs="Arial"/>
          <w:sz w:val="20"/>
        </w:rPr>
        <w:t xml:space="preserve">, </w:t>
      </w:r>
      <w:r w:rsidR="009209D9" w:rsidRPr="004E64A7">
        <w:rPr>
          <w:rFonts w:ascii="Arial" w:hAnsi="Arial" w:cs="Arial"/>
          <w:sz w:val="20"/>
        </w:rPr>
        <w:t xml:space="preserve">TDOT </w:t>
      </w:r>
      <w:r w:rsidR="00C66DC2" w:rsidRPr="004E64A7">
        <w:rPr>
          <w:rFonts w:ascii="Arial" w:hAnsi="Arial" w:cs="Arial"/>
          <w:sz w:val="20"/>
        </w:rPr>
        <w:t>Strategic Transportation Investments</w:t>
      </w:r>
    </w:p>
    <w:p w14:paraId="597DD282" w14:textId="6F271791" w:rsidR="0057487B" w:rsidRPr="004E64A7" w:rsidRDefault="0057487B" w:rsidP="00BF3CBF">
      <w:pPr>
        <w:pStyle w:val="ListParagraph"/>
        <w:numPr>
          <w:ilvl w:val="0"/>
          <w:numId w:val="17"/>
        </w:numPr>
        <w:rPr>
          <w:rFonts w:ascii="Arial" w:hAnsi="Arial" w:cs="Arial"/>
          <w:sz w:val="20"/>
        </w:rPr>
      </w:pPr>
      <w:r>
        <w:rPr>
          <w:rFonts w:ascii="Arial" w:hAnsi="Arial" w:cs="Arial"/>
          <w:sz w:val="20"/>
        </w:rPr>
        <w:t xml:space="preserve">Chanel </w:t>
      </w:r>
      <w:proofErr w:type="spellStart"/>
      <w:r>
        <w:rPr>
          <w:rFonts w:ascii="Arial" w:hAnsi="Arial" w:cs="Arial"/>
          <w:sz w:val="20"/>
        </w:rPr>
        <w:t>Hippix</w:t>
      </w:r>
      <w:proofErr w:type="spellEnd"/>
      <w:r>
        <w:rPr>
          <w:rFonts w:ascii="Arial" w:hAnsi="Arial" w:cs="Arial"/>
          <w:sz w:val="20"/>
        </w:rPr>
        <w:t xml:space="preserve">, </w:t>
      </w:r>
      <w:r w:rsidRPr="0057487B">
        <w:rPr>
          <w:rFonts w:ascii="Arial" w:hAnsi="Arial" w:cs="Arial"/>
          <w:sz w:val="20"/>
        </w:rPr>
        <w:t>Southeast Tennessee Development District</w:t>
      </w:r>
    </w:p>
    <w:p w14:paraId="5086E8AC" w14:textId="77777777" w:rsidR="00BF3CBF" w:rsidRPr="004E64A7" w:rsidRDefault="00BF3CBF" w:rsidP="00BF3CBF">
      <w:pPr>
        <w:pStyle w:val="ListParagraph"/>
        <w:numPr>
          <w:ilvl w:val="0"/>
          <w:numId w:val="17"/>
        </w:numPr>
        <w:rPr>
          <w:rFonts w:ascii="Arial" w:hAnsi="Arial" w:cs="Arial"/>
          <w:sz w:val="20"/>
        </w:rPr>
      </w:pPr>
      <w:r w:rsidRPr="004E64A7">
        <w:rPr>
          <w:rFonts w:ascii="Arial" w:hAnsi="Arial" w:cs="Arial"/>
          <w:sz w:val="20"/>
        </w:rPr>
        <w:t>Zach DeVeau, Kimley-Horn</w:t>
      </w:r>
    </w:p>
    <w:p w14:paraId="5086E8AD" w14:textId="6CC70D84" w:rsidR="00BF3CBF" w:rsidRPr="004E64A7" w:rsidRDefault="00CB7155" w:rsidP="00BF3CBF">
      <w:pPr>
        <w:pStyle w:val="ListParagraph"/>
        <w:numPr>
          <w:ilvl w:val="0"/>
          <w:numId w:val="17"/>
        </w:numPr>
        <w:rPr>
          <w:rFonts w:ascii="Arial" w:hAnsi="Arial" w:cs="Arial"/>
          <w:sz w:val="20"/>
        </w:rPr>
      </w:pPr>
      <w:r w:rsidRPr="004E64A7">
        <w:rPr>
          <w:rFonts w:ascii="Arial" w:hAnsi="Arial" w:cs="Arial"/>
          <w:sz w:val="20"/>
        </w:rPr>
        <w:t>Taylor Filaroski, Kimley-Horn</w:t>
      </w:r>
    </w:p>
    <w:p w14:paraId="5086E8AF" w14:textId="77777777" w:rsidR="0047429A" w:rsidRDefault="0047429A" w:rsidP="0047429A">
      <w:pPr>
        <w:rPr>
          <w:rFonts w:ascii="Arial" w:hAnsi="Arial" w:cs="Arial"/>
          <w:sz w:val="20"/>
        </w:rPr>
      </w:pPr>
    </w:p>
    <w:p w14:paraId="5086E8B0" w14:textId="77777777" w:rsidR="0047429A" w:rsidRPr="0047429A" w:rsidRDefault="0047429A" w:rsidP="0047429A">
      <w:pPr>
        <w:rPr>
          <w:rFonts w:ascii="Arial" w:hAnsi="Arial" w:cs="Arial"/>
          <w:sz w:val="20"/>
        </w:rPr>
        <w:sectPr w:rsidR="0047429A" w:rsidRPr="0047429A" w:rsidSect="00BC0D8A">
          <w:type w:val="continuous"/>
          <w:pgSz w:w="12240" w:h="15840"/>
          <w:pgMar w:top="1440" w:right="1440" w:bottom="1440" w:left="1440" w:header="720" w:footer="720" w:gutter="0"/>
          <w:cols w:num="2" w:space="720"/>
          <w:docGrid w:linePitch="360"/>
        </w:sectPr>
      </w:pPr>
    </w:p>
    <w:p w14:paraId="5086E8B1" w14:textId="540ECA24" w:rsidR="009E17A3" w:rsidRDefault="00832366" w:rsidP="009E17A3">
      <w:pPr>
        <w:rPr>
          <w:rFonts w:ascii="Arial" w:hAnsi="Arial" w:cs="Arial"/>
          <w:b/>
          <w:color w:val="001999"/>
        </w:rPr>
      </w:pPr>
      <w:r>
        <w:rPr>
          <w:rFonts w:ascii="Arial" w:hAnsi="Arial" w:cs="Arial"/>
          <w:b/>
          <w:color w:val="001999"/>
        </w:rPr>
        <w:br/>
      </w:r>
      <w:r w:rsidR="00D36CBE">
        <w:rPr>
          <w:rFonts w:ascii="Arial" w:hAnsi="Arial" w:cs="Arial"/>
          <w:b/>
          <w:color w:val="001999"/>
        </w:rPr>
        <w:t>Meeting Introduction</w:t>
      </w:r>
    </w:p>
    <w:p w14:paraId="4BFF1968" w14:textId="79F1356D" w:rsidR="00D36CBE" w:rsidRDefault="00363387" w:rsidP="00D36CBE">
      <w:pPr>
        <w:rPr>
          <w:rFonts w:ascii="Arial" w:hAnsi="Arial" w:cs="Arial"/>
          <w:sz w:val="20"/>
          <w:szCs w:val="20"/>
        </w:rPr>
      </w:pPr>
      <w:r>
        <w:rPr>
          <w:rFonts w:ascii="Arial" w:hAnsi="Arial" w:cs="Arial"/>
          <w:sz w:val="20"/>
          <w:szCs w:val="20"/>
        </w:rPr>
        <w:t>Due to stay-at-home orders and travel restrictions as a result of COVID-19, the</w:t>
      </w:r>
      <w:r w:rsidR="00174854">
        <w:rPr>
          <w:rFonts w:ascii="Arial" w:hAnsi="Arial" w:cs="Arial"/>
          <w:sz w:val="20"/>
          <w:szCs w:val="20"/>
        </w:rPr>
        <w:t xml:space="preserve"> </w:t>
      </w:r>
      <w:r w:rsidR="00A3699C">
        <w:rPr>
          <w:rFonts w:ascii="Arial" w:hAnsi="Arial" w:cs="Arial"/>
          <w:sz w:val="20"/>
          <w:szCs w:val="20"/>
        </w:rPr>
        <w:t>fourth</w:t>
      </w:r>
      <w:r>
        <w:rPr>
          <w:rFonts w:ascii="Arial" w:hAnsi="Arial" w:cs="Arial"/>
          <w:sz w:val="20"/>
          <w:szCs w:val="20"/>
        </w:rPr>
        <w:t xml:space="preserve"> TASP AC</w:t>
      </w:r>
      <w:r w:rsidR="004E64A7">
        <w:rPr>
          <w:rFonts w:ascii="Arial" w:hAnsi="Arial" w:cs="Arial"/>
          <w:sz w:val="20"/>
          <w:szCs w:val="20"/>
        </w:rPr>
        <w:t xml:space="preserve"> </w:t>
      </w:r>
      <w:r>
        <w:rPr>
          <w:rFonts w:ascii="Arial" w:hAnsi="Arial" w:cs="Arial"/>
          <w:sz w:val="20"/>
          <w:szCs w:val="20"/>
        </w:rPr>
        <w:t>meeting was held virtually</w:t>
      </w:r>
      <w:r w:rsidR="00E628C6">
        <w:rPr>
          <w:rFonts w:ascii="Arial" w:hAnsi="Arial" w:cs="Arial"/>
          <w:sz w:val="20"/>
          <w:szCs w:val="20"/>
        </w:rPr>
        <w:t xml:space="preserve"> </w:t>
      </w:r>
      <w:r w:rsidR="00061B63">
        <w:rPr>
          <w:rFonts w:ascii="Arial" w:hAnsi="Arial" w:cs="Arial"/>
          <w:sz w:val="20"/>
          <w:szCs w:val="20"/>
        </w:rPr>
        <w:t>via</w:t>
      </w:r>
      <w:r>
        <w:rPr>
          <w:rFonts w:ascii="Arial" w:hAnsi="Arial" w:cs="Arial"/>
          <w:sz w:val="20"/>
          <w:szCs w:val="20"/>
        </w:rPr>
        <w:t xml:space="preserve"> </w:t>
      </w:r>
      <w:r w:rsidR="00174854">
        <w:rPr>
          <w:rFonts w:ascii="Arial" w:hAnsi="Arial" w:cs="Arial"/>
          <w:sz w:val="20"/>
          <w:szCs w:val="20"/>
        </w:rPr>
        <w:t>Microsoft Teams</w:t>
      </w:r>
      <w:r>
        <w:rPr>
          <w:rFonts w:ascii="Arial" w:hAnsi="Arial" w:cs="Arial"/>
          <w:sz w:val="20"/>
          <w:szCs w:val="20"/>
        </w:rPr>
        <w:t>.</w:t>
      </w:r>
    </w:p>
    <w:p w14:paraId="69EE4368" w14:textId="0E57D1F7" w:rsidR="00B64477" w:rsidRDefault="00946A70" w:rsidP="00D36CBE">
      <w:pPr>
        <w:rPr>
          <w:rFonts w:ascii="Arial" w:hAnsi="Arial" w:cs="Arial"/>
          <w:sz w:val="20"/>
          <w:szCs w:val="20"/>
        </w:rPr>
      </w:pPr>
      <w:r>
        <w:rPr>
          <w:rFonts w:ascii="Arial" w:hAnsi="Arial" w:cs="Arial"/>
          <w:sz w:val="20"/>
          <w:szCs w:val="20"/>
        </w:rPr>
        <w:t>Evan</w:t>
      </w:r>
      <w:r w:rsidR="00B64477">
        <w:rPr>
          <w:rFonts w:ascii="Arial" w:hAnsi="Arial" w:cs="Arial"/>
          <w:sz w:val="20"/>
          <w:szCs w:val="20"/>
        </w:rPr>
        <w:t xml:space="preserve"> </w:t>
      </w:r>
      <w:r w:rsidR="00EB0826">
        <w:rPr>
          <w:rFonts w:ascii="Arial" w:hAnsi="Arial" w:cs="Arial"/>
          <w:sz w:val="20"/>
          <w:szCs w:val="20"/>
        </w:rPr>
        <w:t>Lester</w:t>
      </w:r>
      <w:r w:rsidR="00123BB2">
        <w:rPr>
          <w:rFonts w:ascii="Arial" w:hAnsi="Arial" w:cs="Arial"/>
          <w:sz w:val="20"/>
          <w:szCs w:val="20"/>
        </w:rPr>
        <w:t xml:space="preserve">, </w:t>
      </w:r>
      <w:r w:rsidR="00EB0826">
        <w:rPr>
          <w:rFonts w:ascii="Arial" w:hAnsi="Arial" w:cs="Arial"/>
          <w:sz w:val="20"/>
          <w:szCs w:val="20"/>
        </w:rPr>
        <w:t>TDOT Aeronautics Division</w:t>
      </w:r>
      <w:r w:rsidR="00123BB2">
        <w:rPr>
          <w:rFonts w:ascii="Arial" w:hAnsi="Arial" w:cs="Arial"/>
          <w:sz w:val="20"/>
          <w:szCs w:val="20"/>
        </w:rPr>
        <w:t>,</w:t>
      </w:r>
      <w:r w:rsidR="00EB0826">
        <w:rPr>
          <w:rFonts w:ascii="Arial" w:hAnsi="Arial" w:cs="Arial"/>
          <w:sz w:val="20"/>
          <w:szCs w:val="20"/>
        </w:rPr>
        <w:t xml:space="preserve"> </w:t>
      </w:r>
      <w:r w:rsidR="00B64477">
        <w:rPr>
          <w:rFonts w:ascii="Arial" w:hAnsi="Arial" w:cs="Arial"/>
          <w:sz w:val="20"/>
          <w:szCs w:val="20"/>
        </w:rPr>
        <w:t>kicked off</w:t>
      </w:r>
      <w:r w:rsidR="00BB60F9">
        <w:rPr>
          <w:rFonts w:ascii="Arial" w:hAnsi="Arial" w:cs="Arial"/>
          <w:sz w:val="20"/>
          <w:szCs w:val="20"/>
        </w:rPr>
        <w:t xml:space="preserve"> the meeting</w:t>
      </w:r>
      <w:r w:rsidR="00B64477">
        <w:rPr>
          <w:rFonts w:ascii="Arial" w:hAnsi="Arial" w:cs="Arial"/>
          <w:sz w:val="20"/>
          <w:szCs w:val="20"/>
        </w:rPr>
        <w:t xml:space="preserve"> </w:t>
      </w:r>
      <w:r w:rsidR="00174854">
        <w:rPr>
          <w:rFonts w:ascii="Arial" w:hAnsi="Arial" w:cs="Arial"/>
          <w:sz w:val="20"/>
          <w:szCs w:val="20"/>
        </w:rPr>
        <w:t xml:space="preserve">by </w:t>
      </w:r>
      <w:r w:rsidR="001E7D03">
        <w:rPr>
          <w:rFonts w:ascii="Arial" w:hAnsi="Arial" w:cs="Arial"/>
          <w:sz w:val="20"/>
          <w:szCs w:val="20"/>
        </w:rPr>
        <w:t xml:space="preserve">introducing TDOT Aeronautics Division’s newest employees: Alexandria Lundberg, </w:t>
      </w:r>
      <w:proofErr w:type="spellStart"/>
      <w:r w:rsidR="001E7D03">
        <w:rPr>
          <w:rFonts w:ascii="Arial" w:hAnsi="Arial" w:cs="Arial"/>
          <w:sz w:val="20"/>
          <w:szCs w:val="20"/>
        </w:rPr>
        <w:t>Kabrina</w:t>
      </w:r>
      <w:proofErr w:type="spellEnd"/>
      <w:r w:rsidR="001E7D03">
        <w:rPr>
          <w:rFonts w:ascii="Arial" w:hAnsi="Arial" w:cs="Arial"/>
          <w:sz w:val="20"/>
          <w:szCs w:val="20"/>
        </w:rPr>
        <w:t xml:space="preserve"> Webb, Erin </w:t>
      </w:r>
      <w:proofErr w:type="spellStart"/>
      <w:r w:rsidR="001E7D03">
        <w:rPr>
          <w:rFonts w:ascii="Arial" w:hAnsi="Arial" w:cs="Arial"/>
          <w:sz w:val="20"/>
          <w:szCs w:val="20"/>
        </w:rPr>
        <w:t>Mcdougal</w:t>
      </w:r>
      <w:proofErr w:type="spellEnd"/>
      <w:r w:rsidR="001E7D03">
        <w:rPr>
          <w:rFonts w:ascii="Arial" w:hAnsi="Arial" w:cs="Arial"/>
          <w:sz w:val="20"/>
          <w:szCs w:val="20"/>
        </w:rPr>
        <w:t>, and Stephanie Saloom</w:t>
      </w:r>
      <w:r w:rsidR="003909A2">
        <w:rPr>
          <w:rFonts w:ascii="Arial" w:hAnsi="Arial" w:cs="Arial"/>
          <w:sz w:val="20"/>
          <w:szCs w:val="20"/>
        </w:rPr>
        <w:t>. These new employees have become involved in the TASP and will be assisting with the end of the project.</w:t>
      </w:r>
      <w:r w:rsidR="00AF6ABF">
        <w:rPr>
          <w:rFonts w:ascii="Arial" w:hAnsi="Arial" w:cs="Arial"/>
          <w:sz w:val="20"/>
          <w:szCs w:val="20"/>
        </w:rPr>
        <w:t xml:space="preserve"> </w:t>
      </w:r>
      <w:r w:rsidR="00BB2B08">
        <w:rPr>
          <w:rFonts w:ascii="Arial" w:hAnsi="Arial" w:cs="Arial"/>
          <w:sz w:val="20"/>
          <w:szCs w:val="20"/>
        </w:rPr>
        <w:t xml:space="preserve">Michelle </w:t>
      </w:r>
      <w:r w:rsidR="00F97E90">
        <w:rPr>
          <w:rFonts w:ascii="Arial" w:hAnsi="Arial" w:cs="Arial"/>
          <w:sz w:val="20"/>
          <w:szCs w:val="20"/>
        </w:rPr>
        <w:t>Frazier</w:t>
      </w:r>
      <w:r w:rsidR="00123BB2">
        <w:rPr>
          <w:rFonts w:ascii="Arial" w:hAnsi="Arial" w:cs="Arial"/>
          <w:sz w:val="20"/>
          <w:szCs w:val="20"/>
        </w:rPr>
        <w:t xml:space="preserve">, </w:t>
      </w:r>
      <w:r w:rsidR="00F97E90">
        <w:rPr>
          <w:rFonts w:ascii="Arial" w:hAnsi="Arial" w:cs="Arial"/>
          <w:sz w:val="20"/>
          <w:szCs w:val="20"/>
        </w:rPr>
        <w:t>TDOT Aeronautics Division</w:t>
      </w:r>
      <w:r w:rsidR="00123BB2">
        <w:rPr>
          <w:rFonts w:ascii="Arial" w:hAnsi="Arial" w:cs="Arial"/>
          <w:sz w:val="20"/>
          <w:szCs w:val="20"/>
        </w:rPr>
        <w:t>,</w:t>
      </w:r>
      <w:r w:rsidR="00F97E90">
        <w:rPr>
          <w:rFonts w:ascii="Arial" w:hAnsi="Arial" w:cs="Arial"/>
          <w:sz w:val="20"/>
          <w:szCs w:val="20"/>
        </w:rPr>
        <w:t xml:space="preserve"> </w:t>
      </w:r>
      <w:r w:rsidR="00174854">
        <w:rPr>
          <w:rFonts w:ascii="Arial" w:hAnsi="Arial" w:cs="Arial"/>
          <w:sz w:val="20"/>
          <w:szCs w:val="20"/>
        </w:rPr>
        <w:t xml:space="preserve">thanked everyone for their time </w:t>
      </w:r>
      <w:r w:rsidR="00F70B05">
        <w:rPr>
          <w:rFonts w:ascii="Arial" w:hAnsi="Arial" w:cs="Arial"/>
          <w:sz w:val="20"/>
          <w:szCs w:val="20"/>
        </w:rPr>
        <w:t>and stated that the end of the project was approaching.</w:t>
      </w:r>
    </w:p>
    <w:p w14:paraId="39222E3F" w14:textId="11C0A716" w:rsidR="001C207D" w:rsidRDefault="00F70B05" w:rsidP="00D36CBE">
      <w:pPr>
        <w:rPr>
          <w:rFonts w:ascii="Arial" w:hAnsi="Arial" w:cs="Arial"/>
          <w:b/>
          <w:color w:val="001999"/>
        </w:rPr>
      </w:pPr>
      <w:r>
        <w:rPr>
          <w:rFonts w:ascii="Arial" w:hAnsi="Arial" w:cs="Arial"/>
          <w:b/>
          <w:color w:val="001999"/>
        </w:rPr>
        <w:t>Presentation Overv</w:t>
      </w:r>
      <w:r w:rsidR="0038760C">
        <w:rPr>
          <w:rFonts w:ascii="Arial" w:hAnsi="Arial" w:cs="Arial"/>
          <w:b/>
          <w:color w:val="001999"/>
        </w:rPr>
        <w:t>iew</w:t>
      </w:r>
    </w:p>
    <w:p w14:paraId="1089E522" w14:textId="6FC6C598" w:rsidR="001D73FD" w:rsidRDefault="00174854" w:rsidP="00174854">
      <w:pPr>
        <w:rPr>
          <w:rFonts w:ascii="Arial" w:hAnsi="Arial" w:cs="Arial"/>
          <w:sz w:val="20"/>
          <w:szCs w:val="20"/>
        </w:rPr>
      </w:pPr>
      <w:r>
        <w:rPr>
          <w:rFonts w:ascii="Arial" w:hAnsi="Arial" w:cs="Arial"/>
          <w:sz w:val="20"/>
          <w:szCs w:val="20"/>
        </w:rPr>
        <w:t>Following these introductory remarks, Zach DeVeau, the Kimley-Horn Project Manager, presented a PowerPoint that provided an update on the TASP and Economic Impact Study. An outline of the presentation is provided below.</w:t>
      </w:r>
    </w:p>
    <w:p w14:paraId="0DDDF75C" w14:textId="77777777" w:rsidR="001D73FD" w:rsidRDefault="001D73FD" w:rsidP="001D73FD">
      <w:pPr>
        <w:pStyle w:val="ListParagraph"/>
        <w:numPr>
          <w:ilvl w:val="0"/>
          <w:numId w:val="28"/>
        </w:numPr>
        <w:rPr>
          <w:rFonts w:ascii="Arial" w:hAnsi="Arial" w:cs="Arial"/>
          <w:sz w:val="20"/>
          <w:szCs w:val="20"/>
        </w:rPr>
      </w:pPr>
      <w:r w:rsidRPr="001D73FD">
        <w:rPr>
          <w:rFonts w:ascii="Arial" w:hAnsi="Arial" w:cs="Arial"/>
          <w:sz w:val="20"/>
          <w:szCs w:val="20"/>
        </w:rPr>
        <w:t>Since we last met…</w:t>
      </w:r>
    </w:p>
    <w:p w14:paraId="55A132B3" w14:textId="77777777" w:rsidR="001D73FD" w:rsidRDefault="001D73FD" w:rsidP="001D73FD">
      <w:pPr>
        <w:pStyle w:val="ListParagraph"/>
        <w:numPr>
          <w:ilvl w:val="0"/>
          <w:numId w:val="28"/>
        </w:numPr>
        <w:rPr>
          <w:rFonts w:ascii="Arial" w:hAnsi="Arial" w:cs="Arial"/>
          <w:sz w:val="20"/>
          <w:szCs w:val="20"/>
        </w:rPr>
      </w:pPr>
      <w:bookmarkStart w:id="0" w:name="_Hlk67665705"/>
      <w:r w:rsidRPr="001D73FD">
        <w:rPr>
          <w:rFonts w:ascii="Arial" w:hAnsi="Arial" w:cs="Arial"/>
          <w:sz w:val="20"/>
          <w:szCs w:val="20"/>
        </w:rPr>
        <w:t>Project Update: Economic Impact Study</w:t>
      </w:r>
    </w:p>
    <w:bookmarkEnd w:id="0"/>
    <w:p w14:paraId="38B00210" w14:textId="77777777" w:rsidR="001D73FD" w:rsidRDefault="001D73FD" w:rsidP="001D73FD">
      <w:pPr>
        <w:pStyle w:val="ListParagraph"/>
        <w:numPr>
          <w:ilvl w:val="0"/>
          <w:numId w:val="28"/>
        </w:numPr>
        <w:rPr>
          <w:rFonts w:ascii="Arial" w:hAnsi="Arial" w:cs="Arial"/>
          <w:sz w:val="20"/>
          <w:szCs w:val="20"/>
        </w:rPr>
      </w:pPr>
      <w:r w:rsidRPr="001D73FD">
        <w:rPr>
          <w:rFonts w:ascii="Arial" w:hAnsi="Arial" w:cs="Arial"/>
          <w:sz w:val="20"/>
          <w:szCs w:val="20"/>
        </w:rPr>
        <w:t>Project Update: Existing System Performance and Future System Performance</w:t>
      </w:r>
    </w:p>
    <w:p w14:paraId="3A0143DA" w14:textId="3378B477" w:rsidR="001D73FD" w:rsidRPr="001D73FD" w:rsidRDefault="001D73FD" w:rsidP="001D73FD">
      <w:pPr>
        <w:pStyle w:val="ListParagraph"/>
        <w:numPr>
          <w:ilvl w:val="0"/>
          <w:numId w:val="28"/>
        </w:numPr>
        <w:rPr>
          <w:rFonts w:ascii="Arial" w:hAnsi="Arial" w:cs="Arial"/>
          <w:sz w:val="20"/>
          <w:szCs w:val="20"/>
        </w:rPr>
      </w:pPr>
      <w:r w:rsidRPr="001D73FD">
        <w:rPr>
          <w:rFonts w:ascii="Arial" w:hAnsi="Arial" w:cs="Arial"/>
          <w:sz w:val="20"/>
          <w:szCs w:val="20"/>
        </w:rPr>
        <w:lastRenderedPageBreak/>
        <w:t>Next Steps</w:t>
      </w:r>
    </w:p>
    <w:p w14:paraId="2FD6DD92" w14:textId="2085B298" w:rsidR="00174854" w:rsidRDefault="00174854" w:rsidP="00174854">
      <w:pPr>
        <w:rPr>
          <w:rFonts w:ascii="Arial" w:hAnsi="Arial" w:cs="Arial"/>
          <w:sz w:val="20"/>
          <w:szCs w:val="20"/>
        </w:rPr>
      </w:pPr>
      <w:r>
        <w:rPr>
          <w:rFonts w:ascii="Arial" w:hAnsi="Arial" w:cs="Arial"/>
          <w:sz w:val="20"/>
          <w:szCs w:val="20"/>
        </w:rPr>
        <w:t xml:space="preserve">Members of the </w:t>
      </w:r>
      <w:r w:rsidR="00BB472F">
        <w:rPr>
          <w:rFonts w:ascii="Arial" w:hAnsi="Arial" w:cs="Arial"/>
          <w:sz w:val="20"/>
          <w:szCs w:val="20"/>
        </w:rPr>
        <w:t>TASP AC</w:t>
      </w:r>
      <w:r>
        <w:rPr>
          <w:rFonts w:ascii="Arial" w:hAnsi="Arial" w:cs="Arial"/>
          <w:sz w:val="20"/>
          <w:szCs w:val="20"/>
        </w:rPr>
        <w:t xml:space="preserve"> asked questions and provided feedback throughout the presentation. These questions, comments, and responses are organized by agenda item in the following sections.</w:t>
      </w:r>
    </w:p>
    <w:p w14:paraId="57C582D2" w14:textId="4E2AF21D" w:rsidR="00B8134D" w:rsidRDefault="00123BB2" w:rsidP="00FA030B">
      <w:pPr>
        <w:rPr>
          <w:rFonts w:ascii="Arial" w:hAnsi="Arial" w:cs="Arial"/>
          <w:b/>
          <w:color w:val="001999"/>
        </w:rPr>
      </w:pPr>
      <w:r>
        <w:rPr>
          <w:rFonts w:ascii="Arial" w:hAnsi="Arial" w:cs="Arial"/>
          <w:b/>
          <w:color w:val="001999"/>
        </w:rPr>
        <w:t>Since we last met…</w:t>
      </w:r>
    </w:p>
    <w:p w14:paraId="4ABF81D7" w14:textId="0EA795A4" w:rsidR="00BB472F" w:rsidRDefault="00123BB2" w:rsidP="00FA030B">
      <w:pPr>
        <w:rPr>
          <w:rFonts w:ascii="Arial" w:hAnsi="Arial" w:cs="Arial"/>
          <w:sz w:val="20"/>
          <w:szCs w:val="20"/>
        </w:rPr>
      </w:pPr>
      <w:r>
        <w:rPr>
          <w:rFonts w:ascii="Arial" w:hAnsi="Arial" w:cs="Arial"/>
          <w:sz w:val="20"/>
          <w:szCs w:val="20"/>
        </w:rPr>
        <w:t xml:space="preserve">This portion of the presentation focused on general project updates since </w:t>
      </w:r>
      <w:r w:rsidR="001520A1">
        <w:rPr>
          <w:rFonts w:ascii="Arial" w:hAnsi="Arial" w:cs="Arial"/>
          <w:sz w:val="20"/>
          <w:szCs w:val="20"/>
        </w:rPr>
        <w:t>December</w:t>
      </w:r>
      <w:r>
        <w:rPr>
          <w:rFonts w:ascii="Arial" w:hAnsi="Arial" w:cs="Arial"/>
          <w:sz w:val="20"/>
          <w:szCs w:val="20"/>
        </w:rPr>
        <w:t xml:space="preserve">. Zach DeVeau, Kimley-Horn, noted that the </w:t>
      </w:r>
      <w:r w:rsidR="001520A1">
        <w:rPr>
          <w:rFonts w:ascii="Arial" w:hAnsi="Arial" w:cs="Arial"/>
          <w:sz w:val="20"/>
          <w:szCs w:val="20"/>
        </w:rPr>
        <w:t>Economic Impact Study had been fast-tracked in order to accommodate the January legislative session, and that in addition to the Executive Summary Brochure, more deliverables are to come</w:t>
      </w:r>
      <w:r>
        <w:rPr>
          <w:rFonts w:ascii="Arial" w:hAnsi="Arial" w:cs="Arial"/>
          <w:sz w:val="20"/>
          <w:szCs w:val="20"/>
        </w:rPr>
        <w:t xml:space="preserve">. There were no questions or comments during this </w:t>
      </w:r>
      <w:r w:rsidR="008824D1">
        <w:rPr>
          <w:rFonts w:ascii="Arial" w:hAnsi="Arial" w:cs="Arial"/>
          <w:sz w:val="20"/>
          <w:szCs w:val="20"/>
        </w:rPr>
        <w:t>portion</w:t>
      </w:r>
      <w:r w:rsidR="00824AA3">
        <w:rPr>
          <w:rFonts w:ascii="Arial" w:hAnsi="Arial" w:cs="Arial"/>
          <w:sz w:val="20"/>
          <w:szCs w:val="20"/>
        </w:rPr>
        <w:t>.</w:t>
      </w:r>
    </w:p>
    <w:p w14:paraId="6B11A7EB" w14:textId="77777777" w:rsidR="001520A1" w:rsidRDefault="001520A1" w:rsidP="00FA030B">
      <w:pPr>
        <w:rPr>
          <w:rFonts w:ascii="Arial" w:hAnsi="Arial" w:cs="Arial"/>
          <w:b/>
          <w:color w:val="001999"/>
        </w:rPr>
      </w:pPr>
      <w:r w:rsidRPr="001520A1">
        <w:rPr>
          <w:rFonts w:ascii="Arial" w:hAnsi="Arial" w:cs="Arial"/>
          <w:b/>
          <w:color w:val="001999"/>
        </w:rPr>
        <w:t>Project Update: Economic Impact Study</w:t>
      </w:r>
    </w:p>
    <w:p w14:paraId="1E0CE630" w14:textId="02ED3522" w:rsidR="00557FBB" w:rsidRDefault="00123BB2" w:rsidP="00CB3B54">
      <w:pPr>
        <w:rPr>
          <w:rFonts w:ascii="Arial" w:hAnsi="Arial" w:cs="Arial"/>
          <w:sz w:val="20"/>
          <w:szCs w:val="20"/>
        </w:rPr>
      </w:pPr>
      <w:r w:rsidRPr="00123BB2">
        <w:rPr>
          <w:rFonts w:ascii="Arial" w:hAnsi="Arial" w:cs="Arial"/>
          <w:sz w:val="20"/>
          <w:szCs w:val="20"/>
        </w:rPr>
        <w:t>This</w:t>
      </w:r>
      <w:r>
        <w:rPr>
          <w:rFonts w:ascii="Arial" w:hAnsi="Arial" w:cs="Arial"/>
          <w:sz w:val="20"/>
          <w:szCs w:val="20"/>
        </w:rPr>
        <w:t xml:space="preserve"> portion of the presentation provided an overview of </w:t>
      </w:r>
      <w:r w:rsidR="00CB3B54">
        <w:rPr>
          <w:rFonts w:ascii="Arial" w:hAnsi="Arial" w:cs="Arial"/>
          <w:sz w:val="20"/>
          <w:szCs w:val="20"/>
        </w:rPr>
        <w:t>the Economic Impact Study. Zach DeVeau, Kimley-Horn</w:t>
      </w:r>
      <w:r w:rsidR="005C2508">
        <w:rPr>
          <w:rFonts w:ascii="Arial" w:hAnsi="Arial" w:cs="Arial"/>
          <w:sz w:val="20"/>
          <w:szCs w:val="20"/>
        </w:rPr>
        <w:t xml:space="preserve">, provided the statewide and Regional results of the study, including the </w:t>
      </w:r>
      <w:r w:rsidR="00557FBB">
        <w:rPr>
          <w:rFonts w:ascii="Arial" w:hAnsi="Arial" w:cs="Arial"/>
          <w:sz w:val="20"/>
          <w:szCs w:val="20"/>
        </w:rPr>
        <w:t>$40 billion that Tennessee’s aviation system contributes to the state’s economy. Zach DeVeau, Kimley-Horn, also provided a brief overview of the study’s methodology, which calculates both direct and multiplier impact</w:t>
      </w:r>
      <w:r w:rsidR="00CE6759">
        <w:rPr>
          <w:rFonts w:ascii="Arial" w:hAnsi="Arial" w:cs="Arial"/>
          <w:sz w:val="20"/>
          <w:szCs w:val="20"/>
        </w:rPr>
        <w:t>s</w:t>
      </w:r>
      <w:r w:rsidR="00557FBB">
        <w:rPr>
          <w:rFonts w:ascii="Arial" w:hAnsi="Arial" w:cs="Arial"/>
          <w:sz w:val="20"/>
          <w:szCs w:val="20"/>
        </w:rPr>
        <w:t xml:space="preserve"> from Tennessee’s aviation system.</w:t>
      </w:r>
    </w:p>
    <w:p w14:paraId="0D37BFCC" w14:textId="49577C86" w:rsidR="002907BC" w:rsidRDefault="00557FBB" w:rsidP="00CB3B54">
      <w:pPr>
        <w:rPr>
          <w:rFonts w:ascii="Arial" w:hAnsi="Arial" w:cs="Arial"/>
          <w:sz w:val="20"/>
          <w:szCs w:val="20"/>
        </w:rPr>
      </w:pPr>
      <w:r>
        <w:rPr>
          <w:rFonts w:ascii="Arial" w:hAnsi="Arial" w:cs="Arial"/>
          <w:sz w:val="20"/>
          <w:szCs w:val="20"/>
        </w:rPr>
        <w:t>George Huddleston, Tennessee Aeronautics Commission, asked a clarifying question about how total jobs were calculated. He asked how a company’s jobs were counted</w:t>
      </w:r>
      <w:r w:rsidR="0082174C">
        <w:rPr>
          <w:rFonts w:ascii="Arial" w:hAnsi="Arial" w:cs="Arial"/>
          <w:sz w:val="20"/>
          <w:szCs w:val="20"/>
        </w:rPr>
        <w:t xml:space="preserve"> for</w:t>
      </w:r>
      <w:r>
        <w:rPr>
          <w:rFonts w:ascii="Arial" w:hAnsi="Arial" w:cs="Arial"/>
          <w:sz w:val="20"/>
          <w:szCs w:val="20"/>
        </w:rPr>
        <w:t xml:space="preserve"> the airport when </w:t>
      </w:r>
      <w:r w:rsidR="00B25A07">
        <w:rPr>
          <w:rFonts w:ascii="Arial" w:hAnsi="Arial" w:cs="Arial"/>
          <w:sz w:val="20"/>
          <w:szCs w:val="20"/>
        </w:rPr>
        <w:t>a company has both on-airport and off-airport employees. Zach DeVeau, Kimley-Horn, clarified that in this instance, only the on-airport jobs were counted. He noted, however, that due to the multiplier impacts that were calculated as part of this study</w:t>
      </w:r>
      <w:r w:rsidR="002907BC">
        <w:rPr>
          <w:rFonts w:ascii="Arial" w:hAnsi="Arial" w:cs="Arial"/>
          <w:sz w:val="20"/>
          <w:szCs w:val="20"/>
        </w:rPr>
        <w:t>, jobs that are supported by direct impacts of airport activity are also captured.</w:t>
      </w:r>
    </w:p>
    <w:p w14:paraId="001046F1" w14:textId="081111D2" w:rsidR="00643A49" w:rsidRDefault="002907BC" w:rsidP="00CB3B54">
      <w:pPr>
        <w:rPr>
          <w:rFonts w:ascii="Arial" w:hAnsi="Arial" w:cs="Arial"/>
          <w:sz w:val="20"/>
          <w:szCs w:val="20"/>
        </w:rPr>
      </w:pPr>
      <w:r>
        <w:rPr>
          <w:rFonts w:ascii="Arial" w:hAnsi="Arial" w:cs="Arial"/>
          <w:sz w:val="20"/>
          <w:szCs w:val="20"/>
        </w:rPr>
        <w:t>Michelle Frazier, TDOT Aeronautics Division,</w:t>
      </w:r>
      <w:r w:rsidR="000F36A3">
        <w:rPr>
          <w:rFonts w:ascii="Arial" w:hAnsi="Arial" w:cs="Arial"/>
          <w:sz w:val="20"/>
          <w:szCs w:val="20"/>
        </w:rPr>
        <w:t xml:space="preserve"> stated that she likes all of the Economic Impact Study deliverables thus far. She highlighted the website</w:t>
      </w:r>
      <w:r w:rsidR="00F7445D">
        <w:rPr>
          <w:rFonts w:ascii="Arial" w:hAnsi="Arial" w:cs="Arial"/>
          <w:sz w:val="20"/>
          <w:szCs w:val="20"/>
        </w:rPr>
        <w:t xml:space="preserve"> in particular</w:t>
      </w:r>
      <w:r w:rsidR="000F36A3">
        <w:rPr>
          <w:rFonts w:ascii="Arial" w:hAnsi="Arial" w:cs="Arial"/>
          <w:sz w:val="20"/>
          <w:szCs w:val="20"/>
        </w:rPr>
        <w:t xml:space="preserve"> (</w:t>
      </w:r>
      <w:hyperlink r:id="rId15" w:history="1">
        <w:r w:rsidR="00F7445D" w:rsidRPr="002F64F0">
          <w:rPr>
            <w:rStyle w:val="Hyperlink"/>
            <w:rFonts w:ascii="Arial" w:hAnsi="Arial" w:cs="Arial"/>
            <w:sz w:val="20"/>
            <w:szCs w:val="20"/>
          </w:rPr>
          <w:t>https://www.tasp2040.com/economic-impact-study/</w:t>
        </w:r>
      </w:hyperlink>
      <w:r w:rsidR="00F7445D">
        <w:rPr>
          <w:rFonts w:ascii="Arial" w:hAnsi="Arial" w:cs="Arial"/>
          <w:sz w:val="20"/>
          <w:szCs w:val="20"/>
        </w:rPr>
        <w:t>), which provides interactive findings at a statewide, Regional, and individual airport level.</w:t>
      </w:r>
    </w:p>
    <w:p w14:paraId="11E54CC8" w14:textId="2FB3D6A8" w:rsidR="00F7445D" w:rsidRDefault="00F7445D" w:rsidP="00CB3B54">
      <w:pPr>
        <w:rPr>
          <w:rFonts w:ascii="Arial" w:hAnsi="Arial" w:cs="Arial"/>
          <w:sz w:val="20"/>
          <w:szCs w:val="20"/>
        </w:rPr>
      </w:pPr>
      <w:r>
        <w:rPr>
          <w:rFonts w:ascii="Arial" w:hAnsi="Arial" w:cs="Arial"/>
          <w:sz w:val="20"/>
          <w:szCs w:val="20"/>
        </w:rPr>
        <w:t>Patrick Wilson, McGhee Tyson Airport, noted that the TAACA</w:t>
      </w:r>
      <w:r w:rsidR="00732874">
        <w:rPr>
          <w:rFonts w:ascii="Arial" w:hAnsi="Arial" w:cs="Arial"/>
          <w:sz w:val="20"/>
          <w:szCs w:val="20"/>
        </w:rPr>
        <w:t xml:space="preserve"> airports are already us</w:t>
      </w:r>
      <w:r w:rsidR="0082174C">
        <w:rPr>
          <w:rFonts w:ascii="Arial" w:hAnsi="Arial" w:cs="Arial"/>
          <w:sz w:val="20"/>
          <w:szCs w:val="20"/>
        </w:rPr>
        <w:t>ing</w:t>
      </w:r>
      <w:r w:rsidR="00732874">
        <w:rPr>
          <w:rFonts w:ascii="Arial" w:hAnsi="Arial" w:cs="Arial"/>
          <w:sz w:val="20"/>
          <w:szCs w:val="20"/>
        </w:rPr>
        <w:t xml:space="preserve"> the results of the study. He mentioned that he had helped present to the Senate and House Transportation Committees and found the results very helpful.</w:t>
      </w:r>
    </w:p>
    <w:p w14:paraId="0618C220" w14:textId="18AF26BF" w:rsidR="007A5A8B" w:rsidRPr="007A5A8B" w:rsidRDefault="007A5A8B" w:rsidP="00CB3B54">
      <w:pPr>
        <w:rPr>
          <w:rFonts w:ascii="Arial" w:hAnsi="Arial" w:cs="Arial"/>
          <w:sz w:val="20"/>
          <w:szCs w:val="20"/>
        </w:rPr>
      </w:pPr>
      <w:r>
        <w:rPr>
          <w:rFonts w:ascii="Arial" w:hAnsi="Arial" w:cs="Arial"/>
          <w:sz w:val="20"/>
          <w:szCs w:val="20"/>
        </w:rPr>
        <w:t>David Lee, TDOT Long Range Planning, entered the following question into the meeting chat feature: “</w:t>
      </w:r>
      <w:r w:rsidRPr="007A5A8B">
        <w:rPr>
          <w:rFonts w:ascii="Arial" w:hAnsi="Arial" w:cs="Arial"/>
          <w:sz w:val="20"/>
          <w:szCs w:val="20"/>
        </w:rPr>
        <w:t>Economic Impact Analysis seems to be using Social Accounting Matrix (SAM) approach with economic multiplier. Have you used REMI or something similar? I know TNECD has a similar tool and I am wondering if you have worked with ECD already to verify your impact projection.</w:t>
      </w:r>
      <w:r>
        <w:rPr>
          <w:rFonts w:ascii="Arial" w:hAnsi="Arial" w:cs="Arial"/>
          <w:sz w:val="20"/>
          <w:szCs w:val="20"/>
        </w:rPr>
        <w:t xml:space="preserve">” Zach DeVeau, Kimley-Horn, responded that the Economic Impact Study </w:t>
      </w:r>
      <w:r w:rsidR="004B72AE">
        <w:rPr>
          <w:rFonts w:ascii="Arial" w:hAnsi="Arial" w:cs="Arial"/>
          <w:sz w:val="20"/>
          <w:szCs w:val="20"/>
        </w:rPr>
        <w:t>used</w:t>
      </w:r>
      <w:r>
        <w:rPr>
          <w:rFonts w:ascii="Arial" w:hAnsi="Arial" w:cs="Arial"/>
          <w:sz w:val="20"/>
          <w:szCs w:val="20"/>
        </w:rPr>
        <w:t xml:space="preserve"> IMPLAN and that he would be happy to provide more information about the methodology.</w:t>
      </w:r>
    </w:p>
    <w:p w14:paraId="6B610204" w14:textId="77777777" w:rsidR="00E51290" w:rsidRDefault="00E51290" w:rsidP="00FA030B">
      <w:pPr>
        <w:rPr>
          <w:rFonts w:ascii="Arial" w:hAnsi="Arial" w:cs="Arial"/>
          <w:b/>
          <w:color w:val="001999"/>
        </w:rPr>
      </w:pPr>
      <w:r w:rsidRPr="00E51290">
        <w:rPr>
          <w:rFonts w:ascii="Arial" w:hAnsi="Arial" w:cs="Arial"/>
          <w:b/>
          <w:color w:val="001999"/>
        </w:rPr>
        <w:t>Project Update: Existing System Performance and Future System Performance</w:t>
      </w:r>
    </w:p>
    <w:p w14:paraId="70CAC835" w14:textId="17D05BD1" w:rsidR="00745EBD" w:rsidRDefault="00483A26" w:rsidP="00FA030B">
      <w:pPr>
        <w:rPr>
          <w:rFonts w:ascii="Arial" w:hAnsi="Arial" w:cs="Arial"/>
          <w:sz w:val="20"/>
          <w:szCs w:val="20"/>
        </w:rPr>
      </w:pPr>
      <w:r w:rsidRPr="00123BB2">
        <w:rPr>
          <w:rFonts w:ascii="Arial" w:hAnsi="Arial" w:cs="Arial"/>
          <w:sz w:val="20"/>
          <w:szCs w:val="20"/>
        </w:rPr>
        <w:t>This</w:t>
      </w:r>
      <w:r>
        <w:rPr>
          <w:rFonts w:ascii="Arial" w:hAnsi="Arial" w:cs="Arial"/>
          <w:sz w:val="20"/>
          <w:szCs w:val="20"/>
        </w:rPr>
        <w:t xml:space="preserve"> portion of the presentation provided an overview of </w:t>
      </w:r>
      <w:r w:rsidR="009B4CB9" w:rsidRPr="009B4CB9">
        <w:rPr>
          <w:rFonts w:ascii="Arial" w:hAnsi="Arial" w:cs="Arial"/>
          <w:sz w:val="20"/>
          <w:szCs w:val="20"/>
        </w:rPr>
        <w:t>Chapter 2: Inventory and Existing System Performance</w:t>
      </w:r>
      <w:r w:rsidR="009B4CB9">
        <w:rPr>
          <w:rFonts w:ascii="Arial" w:hAnsi="Arial" w:cs="Arial"/>
          <w:sz w:val="20"/>
          <w:szCs w:val="20"/>
        </w:rPr>
        <w:t xml:space="preserve">, which had been provided to the TASP AC two weeks prior to the meeting, and </w:t>
      </w:r>
      <w:r w:rsidR="005F4D54" w:rsidRPr="005F4D54">
        <w:rPr>
          <w:rFonts w:ascii="Arial" w:hAnsi="Arial" w:cs="Arial"/>
          <w:sz w:val="20"/>
          <w:szCs w:val="20"/>
        </w:rPr>
        <w:t>Chapter 8: Future System Performance</w:t>
      </w:r>
      <w:r w:rsidR="005F4D54">
        <w:rPr>
          <w:rFonts w:ascii="Arial" w:hAnsi="Arial" w:cs="Arial"/>
          <w:sz w:val="20"/>
          <w:szCs w:val="20"/>
        </w:rPr>
        <w:t>, which is forthcoming</w:t>
      </w:r>
      <w:r>
        <w:rPr>
          <w:rFonts w:ascii="Arial" w:hAnsi="Arial" w:cs="Arial"/>
          <w:sz w:val="20"/>
          <w:szCs w:val="20"/>
        </w:rPr>
        <w:t xml:space="preserve">. Zach DeVeau, Kimley-Horn, </w:t>
      </w:r>
      <w:r w:rsidR="005F4D54">
        <w:rPr>
          <w:rFonts w:ascii="Arial" w:hAnsi="Arial" w:cs="Arial"/>
          <w:sz w:val="20"/>
          <w:szCs w:val="20"/>
        </w:rPr>
        <w:t>and Taylor Filaroski, Kimley-Horn, presented the existing performance for a variety of performance measures (PMs), as well as the performance needed to meet future performance targets</w:t>
      </w:r>
      <w:r w:rsidR="004B72AE">
        <w:rPr>
          <w:rFonts w:ascii="Arial" w:hAnsi="Arial" w:cs="Arial"/>
          <w:sz w:val="20"/>
          <w:szCs w:val="20"/>
        </w:rPr>
        <w:t xml:space="preserve"> for these PMs</w:t>
      </w:r>
      <w:r w:rsidR="005F4D54">
        <w:rPr>
          <w:rFonts w:ascii="Arial" w:hAnsi="Arial" w:cs="Arial"/>
          <w:sz w:val="20"/>
          <w:szCs w:val="20"/>
        </w:rPr>
        <w:t>.</w:t>
      </w:r>
    </w:p>
    <w:p w14:paraId="1ECFDCB6" w14:textId="2005CECB" w:rsidR="00751420" w:rsidRDefault="00751420" w:rsidP="00FA030B">
      <w:pPr>
        <w:rPr>
          <w:rFonts w:ascii="Arial" w:hAnsi="Arial" w:cs="Arial"/>
          <w:sz w:val="20"/>
          <w:szCs w:val="20"/>
        </w:rPr>
      </w:pPr>
      <w:r>
        <w:rPr>
          <w:rFonts w:ascii="Arial" w:hAnsi="Arial" w:cs="Arial"/>
          <w:sz w:val="20"/>
          <w:szCs w:val="20"/>
        </w:rPr>
        <w:t>Georg</w:t>
      </w:r>
      <w:r w:rsidR="009A1DAB">
        <w:rPr>
          <w:rFonts w:ascii="Arial" w:hAnsi="Arial" w:cs="Arial"/>
          <w:sz w:val="20"/>
          <w:szCs w:val="20"/>
        </w:rPr>
        <w:t>e</w:t>
      </w:r>
      <w:r>
        <w:rPr>
          <w:rFonts w:ascii="Arial" w:hAnsi="Arial" w:cs="Arial"/>
          <w:sz w:val="20"/>
          <w:szCs w:val="20"/>
        </w:rPr>
        <w:t xml:space="preserve"> Huddleston, Tennessee Aeronautics Commission, asked if the </w:t>
      </w:r>
      <w:r w:rsidR="007C7C94">
        <w:rPr>
          <w:rFonts w:ascii="Arial" w:hAnsi="Arial" w:cs="Arial"/>
          <w:sz w:val="20"/>
          <w:szCs w:val="20"/>
        </w:rPr>
        <w:t>Goal #2 PM, “</w:t>
      </w:r>
      <w:r w:rsidR="007C7C94" w:rsidRPr="007C7C94">
        <w:rPr>
          <w:rFonts w:ascii="Arial" w:hAnsi="Arial" w:cs="Arial"/>
          <w:sz w:val="20"/>
          <w:szCs w:val="20"/>
        </w:rPr>
        <w:t xml:space="preserve">Percent </w:t>
      </w:r>
      <w:r w:rsidR="007C7C94" w:rsidRPr="007C7C94">
        <w:rPr>
          <w:rFonts w:ascii="Arial" w:hAnsi="Arial" w:cs="Arial"/>
          <w:sz w:val="20"/>
          <w:szCs w:val="20"/>
        </w:rPr>
        <w:br/>
        <w:t>of area and population within a 45-minute drive to any Tennessee commercial service airport</w:t>
      </w:r>
      <w:r w:rsidR="007C7C94">
        <w:rPr>
          <w:rFonts w:ascii="Arial" w:hAnsi="Arial" w:cs="Arial"/>
          <w:sz w:val="20"/>
          <w:szCs w:val="20"/>
        </w:rPr>
        <w:t xml:space="preserve">” considered any airports that had previously provided commercial service. Taylor Filaroski, Kimley-Horn, answered </w:t>
      </w:r>
      <w:r w:rsidR="007C7C94">
        <w:rPr>
          <w:rFonts w:ascii="Arial" w:hAnsi="Arial" w:cs="Arial"/>
          <w:sz w:val="20"/>
          <w:szCs w:val="20"/>
        </w:rPr>
        <w:lastRenderedPageBreak/>
        <w:t xml:space="preserve">that it did not. Dean Selby, Upper Cumberland Regional Airport, stated that a few airports had previously provided limited commercial service, such as </w:t>
      </w:r>
      <w:r w:rsidR="000E5C4A" w:rsidRPr="000E5C4A">
        <w:rPr>
          <w:rFonts w:ascii="Arial" w:hAnsi="Arial" w:cs="Arial"/>
          <w:sz w:val="20"/>
          <w:szCs w:val="20"/>
        </w:rPr>
        <w:t>Crossville Memorial Airport-Whitson Field</w:t>
      </w:r>
      <w:r w:rsidR="00BB256C">
        <w:rPr>
          <w:rFonts w:ascii="Arial" w:hAnsi="Arial" w:cs="Arial"/>
          <w:sz w:val="20"/>
          <w:szCs w:val="20"/>
        </w:rPr>
        <w:t xml:space="preserve"> (CSV).</w:t>
      </w:r>
    </w:p>
    <w:p w14:paraId="05904835" w14:textId="15C54E54" w:rsidR="00BB256C" w:rsidRDefault="00BB256C" w:rsidP="00FA030B">
      <w:pPr>
        <w:rPr>
          <w:rFonts w:ascii="Arial" w:hAnsi="Arial" w:cs="Arial"/>
          <w:sz w:val="20"/>
          <w:szCs w:val="20"/>
        </w:rPr>
      </w:pPr>
      <w:r>
        <w:rPr>
          <w:rFonts w:ascii="Arial" w:hAnsi="Arial" w:cs="Arial"/>
          <w:sz w:val="20"/>
          <w:szCs w:val="20"/>
        </w:rPr>
        <w:t>Evan Lester, TDOT Aeronautics Division, stated that the Inventory and Existing System Performance Chapter illustrated a lot of interesting facets of Tennessee’s aviation system. He was particularly interested to note how many types of businesses rely on Tennessee aviation, from medica</w:t>
      </w:r>
      <w:r w:rsidR="009A1DAB">
        <w:rPr>
          <w:rFonts w:ascii="Arial" w:hAnsi="Arial" w:cs="Arial"/>
          <w:sz w:val="20"/>
          <w:szCs w:val="20"/>
        </w:rPr>
        <w:t>l services to agriculture.</w:t>
      </w:r>
    </w:p>
    <w:p w14:paraId="4D5AB306" w14:textId="4BB1FD91" w:rsidR="009A1DAB" w:rsidRDefault="009A1DAB" w:rsidP="00FA030B">
      <w:pPr>
        <w:rPr>
          <w:rFonts w:ascii="Arial" w:hAnsi="Arial" w:cs="Arial"/>
          <w:sz w:val="20"/>
          <w:szCs w:val="20"/>
        </w:rPr>
      </w:pPr>
      <w:r>
        <w:rPr>
          <w:rFonts w:ascii="Arial" w:hAnsi="Arial" w:cs="Arial"/>
          <w:sz w:val="20"/>
          <w:szCs w:val="20"/>
        </w:rPr>
        <w:t>George Huddleston, Tennessee Aeronautics Commission, asked if the airport</w:t>
      </w:r>
      <w:r w:rsidR="004D00A4">
        <w:rPr>
          <w:rFonts w:ascii="Arial" w:hAnsi="Arial" w:cs="Arial"/>
          <w:sz w:val="20"/>
          <w:szCs w:val="20"/>
        </w:rPr>
        <w:t>s</w:t>
      </w:r>
      <w:r>
        <w:rPr>
          <w:rFonts w:ascii="Arial" w:hAnsi="Arial" w:cs="Arial"/>
          <w:sz w:val="20"/>
          <w:szCs w:val="20"/>
        </w:rPr>
        <w:t xml:space="preserve"> noted as having the potential to serve business aircraft as part of the Goal #5 PM, “</w:t>
      </w:r>
      <w:r w:rsidR="00E24632" w:rsidRPr="00E24632">
        <w:rPr>
          <w:rFonts w:ascii="Arial" w:hAnsi="Arial" w:cs="Arial"/>
          <w:sz w:val="20"/>
          <w:szCs w:val="20"/>
        </w:rPr>
        <w:t xml:space="preserve">Population and area within a </w:t>
      </w:r>
      <w:r w:rsidR="00E24632" w:rsidRPr="00E24632">
        <w:rPr>
          <w:rFonts w:ascii="Arial" w:hAnsi="Arial" w:cs="Arial"/>
          <w:sz w:val="20"/>
          <w:szCs w:val="20"/>
        </w:rPr>
        <w:br/>
        <w:t>45-minute drive time of an airport meeting business aircraft needs</w:t>
      </w:r>
      <w:r w:rsidR="00E24632">
        <w:rPr>
          <w:rFonts w:ascii="Arial" w:hAnsi="Arial" w:cs="Arial"/>
          <w:sz w:val="20"/>
          <w:szCs w:val="20"/>
        </w:rPr>
        <w:t>” future performance had been vetted for feasibility. He noted that the only criteria they were missing to serve business users is a 5,500-foot runway, but such a runway extension at many airports is not feasible. Taylor Filaroski, Kimley-Horn, responded that the Future System Performance Chapter will address the runway extension needed at each airport</w:t>
      </w:r>
      <w:r w:rsidR="004222D2">
        <w:rPr>
          <w:rFonts w:ascii="Arial" w:hAnsi="Arial" w:cs="Arial"/>
          <w:sz w:val="20"/>
          <w:szCs w:val="20"/>
        </w:rPr>
        <w:t xml:space="preserve"> in order to meet this target. She added that </w:t>
      </w:r>
      <w:r w:rsidR="00E72261">
        <w:rPr>
          <w:rFonts w:ascii="Arial" w:hAnsi="Arial" w:cs="Arial"/>
          <w:sz w:val="20"/>
          <w:szCs w:val="20"/>
        </w:rPr>
        <w:t>the intention of the future performance of this PM is not that all airports will receive the additional criterion, but that it will enable TDOT Aeronautics Division to prioritize potential projects in order to increase access to airports that serve business aircraft.</w:t>
      </w:r>
    </w:p>
    <w:p w14:paraId="41436D5C" w14:textId="156B60D5" w:rsidR="00E72261" w:rsidRDefault="00E72261" w:rsidP="00FA030B">
      <w:pPr>
        <w:rPr>
          <w:rFonts w:ascii="Arial" w:hAnsi="Arial" w:cs="Arial"/>
          <w:sz w:val="20"/>
          <w:szCs w:val="20"/>
        </w:rPr>
      </w:pPr>
      <w:r>
        <w:rPr>
          <w:rFonts w:ascii="Arial" w:hAnsi="Arial" w:cs="Arial"/>
          <w:sz w:val="20"/>
          <w:szCs w:val="20"/>
        </w:rPr>
        <w:t xml:space="preserve">Dean Selby, Upper Cumberland Regional Airport, had a question about this same PM. He asked if the PM only evaluated population within a 45-minute drive time of an airport meeting business aircraft needs, or if business saturation was </w:t>
      </w:r>
      <w:r w:rsidR="005E55FD">
        <w:rPr>
          <w:rFonts w:ascii="Arial" w:hAnsi="Arial" w:cs="Arial"/>
          <w:sz w:val="20"/>
          <w:szCs w:val="20"/>
        </w:rPr>
        <w:t>included as well. Zach DeVeau, Kimley-Horn, responded that just population was calculated. Dean Selby, Upper Cumberland Regional Airport, expanded on his question</w:t>
      </w:r>
      <w:r w:rsidR="009B670F">
        <w:rPr>
          <w:rFonts w:ascii="Arial" w:hAnsi="Arial" w:cs="Arial"/>
          <w:sz w:val="20"/>
          <w:szCs w:val="20"/>
        </w:rPr>
        <w:t xml:space="preserve"> to note that business saturation may be a better factor to consider. For instance, the drive time for a given airport may show a high population concentration, but </w:t>
      </w:r>
      <w:r w:rsidR="007D030A">
        <w:rPr>
          <w:rFonts w:ascii="Arial" w:hAnsi="Arial" w:cs="Arial"/>
          <w:sz w:val="20"/>
          <w:szCs w:val="20"/>
        </w:rPr>
        <w:t>this may include</w:t>
      </w:r>
      <w:r w:rsidR="009B670F">
        <w:rPr>
          <w:rFonts w:ascii="Arial" w:hAnsi="Arial" w:cs="Arial"/>
          <w:sz w:val="20"/>
          <w:szCs w:val="20"/>
        </w:rPr>
        <w:t xml:space="preserve"> a retirement community that may not </w:t>
      </w:r>
      <w:r w:rsidR="007D030A">
        <w:rPr>
          <w:rFonts w:ascii="Arial" w:hAnsi="Arial" w:cs="Arial"/>
          <w:sz w:val="20"/>
          <w:szCs w:val="20"/>
        </w:rPr>
        <w:t xml:space="preserve">frequently </w:t>
      </w:r>
      <w:r w:rsidR="009B670F">
        <w:rPr>
          <w:rFonts w:ascii="Arial" w:hAnsi="Arial" w:cs="Arial"/>
          <w:sz w:val="20"/>
          <w:szCs w:val="20"/>
        </w:rPr>
        <w:t xml:space="preserve">use the airport. However, the drive time for another airport may show a low population </w:t>
      </w:r>
      <w:r w:rsidR="00216F75">
        <w:rPr>
          <w:rFonts w:ascii="Arial" w:hAnsi="Arial" w:cs="Arial"/>
          <w:sz w:val="20"/>
          <w:szCs w:val="20"/>
        </w:rPr>
        <w:t>concentration but</w:t>
      </w:r>
      <w:r w:rsidR="009B670F">
        <w:rPr>
          <w:rFonts w:ascii="Arial" w:hAnsi="Arial" w:cs="Arial"/>
          <w:sz w:val="20"/>
          <w:szCs w:val="20"/>
        </w:rPr>
        <w:t xml:space="preserve"> </w:t>
      </w:r>
      <w:r w:rsidR="007D030A">
        <w:rPr>
          <w:rFonts w:ascii="Arial" w:hAnsi="Arial" w:cs="Arial"/>
          <w:sz w:val="20"/>
          <w:szCs w:val="20"/>
        </w:rPr>
        <w:t>include</w:t>
      </w:r>
      <w:r w:rsidR="009B670F">
        <w:rPr>
          <w:rFonts w:ascii="Arial" w:hAnsi="Arial" w:cs="Arial"/>
          <w:sz w:val="20"/>
          <w:szCs w:val="20"/>
        </w:rPr>
        <w:t xml:space="preserve"> aviation-reliant businesses that would result in greater use of that particular airport. </w:t>
      </w:r>
      <w:r w:rsidR="006278FC">
        <w:rPr>
          <w:rFonts w:ascii="Arial" w:hAnsi="Arial" w:cs="Arial"/>
          <w:sz w:val="20"/>
          <w:szCs w:val="20"/>
        </w:rPr>
        <w:t xml:space="preserve">Zach DeVeau, Kimley-Horn, noted his agreement and said that the team could </w:t>
      </w:r>
      <w:r w:rsidR="008A177E">
        <w:rPr>
          <w:rFonts w:ascii="Arial" w:hAnsi="Arial" w:cs="Arial"/>
          <w:sz w:val="20"/>
          <w:szCs w:val="20"/>
        </w:rPr>
        <w:t>determine the feasibility of this analysis.</w:t>
      </w:r>
    </w:p>
    <w:p w14:paraId="7708C987" w14:textId="730987BD" w:rsidR="008A177E" w:rsidRDefault="008A177E" w:rsidP="00FA030B">
      <w:pPr>
        <w:rPr>
          <w:rFonts w:ascii="Arial" w:hAnsi="Arial" w:cs="Arial"/>
          <w:sz w:val="20"/>
          <w:szCs w:val="20"/>
        </w:rPr>
      </w:pPr>
      <w:r>
        <w:rPr>
          <w:rFonts w:ascii="Arial" w:hAnsi="Arial" w:cs="Arial"/>
          <w:sz w:val="20"/>
          <w:szCs w:val="20"/>
        </w:rPr>
        <w:t xml:space="preserve">Evan Lester, TDOT Aeronautics Division, also noted his interest that Tennessee’s aviation system has </w:t>
      </w:r>
      <w:r w:rsidR="009745CA">
        <w:rPr>
          <w:rFonts w:ascii="Arial" w:hAnsi="Arial" w:cs="Arial"/>
          <w:sz w:val="20"/>
          <w:szCs w:val="20"/>
        </w:rPr>
        <w:t>over 4,000 based aircraft, including a reported 220 businesses with based aircraft. This shows that the system is robust and that a considerable number of businesses rely on Tennessee aviation.</w:t>
      </w:r>
    </w:p>
    <w:p w14:paraId="4FA95DB6" w14:textId="3B11D566" w:rsidR="00147C1B" w:rsidRDefault="00147C1B" w:rsidP="00FA030B">
      <w:pPr>
        <w:rPr>
          <w:rFonts w:ascii="Arial" w:hAnsi="Arial" w:cs="Arial"/>
          <w:sz w:val="20"/>
        </w:rPr>
      </w:pPr>
      <w:r>
        <w:rPr>
          <w:rFonts w:ascii="Arial" w:hAnsi="Arial" w:cs="Arial"/>
          <w:sz w:val="20"/>
          <w:szCs w:val="20"/>
        </w:rPr>
        <w:t xml:space="preserve">Roy Remington, </w:t>
      </w:r>
      <w:r w:rsidRPr="004E64A7">
        <w:rPr>
          <w:rFonts w:ascii="Arial" w:hAnsi="Arial" w:cs="Arial"/>
          <w:sz w:val="20"/>
        </w:rPr>
        <w:t>Millington</w:t>
      </w:r>
      <w:r>
        <w:rPr>
          <w:rFonts w:ascii="Arial" w:hAnsi="Arial" w:cs="Arial"/>
          <w:sz w:val="20"/>
        </w:rPr>
        <w:t xml:space="preserve"> – Memphis </w:t>
      </w:r>
      <w:r w:rsidRPr="004E64A7">
        <w:rPr>
          <w:rFonts w:ascii="Arial" w:hAnsi="Arial" w:cs="Arial"/>
          <w:sz w:val="20"/>
        </w:rPr>
        <w:t>Airport</w:t>
      </w:r>
      <w:r>
        <w:rPr>
          <w:rFonts w:ascii="Arial" w:hAnsi="Arial" w:cs="Arial"/>
          <w:sz w:val="20"/>
        </w:rPr>
        <w:t xml:space="preserve">, noted that he has been sharing </w:t>
      </w:r>
      <w:r w:rsidR="00075394">
        <w:rPr>
          <w:rFonts w:ascii="Arial" w:hAnsi="Arial" w:cs="Arial"/>
          <w:sz w:val="20"/>
        </w:rPr>
        <w:t xml:space="preserve">TASP and Economic Impact Study information with his local elected officials. He noted that they frequently ask what the needs of the system </w:t>
      </w:r>
      <w:r w:rsidR="00216F75">
        <w:rPr>
          <w:rFonts w:ascii="Arial" w:hAnsi="Arial" w:cs="Arial"/>
          <w:sz w:val="20"/>
        </w:rPr>
        <w:t xml:space="preserve">are and asked if the TASP cost estimates are ready to be shared. Zach DeVeau, Kimley-Horn, noted that the cost estimates task is currently underway, but no findings are able to be shared at this time. However, the findings are on their way and will be provided to the TASP AC. </w:t>
      </w:r>
      <w:r w:rsidR="00253123" w:rsidRPr="00253123">
        <w:rPr>
          <w:rFonts w:ascii="Arial" w:hAnsi="Arial" w:cs="Arial"/>
          <w:sz w:val="20"/>
        </w:rPr>
        <w:t>John Paul Saalwaechter, P.E., TDOT Aeronautics Division</w:t>
      </w:r>
      <w:r w:rsidR="00253123">
        <w:rPr>
          <w:rFonts w:ascii="Arial" w:hAnsi="Arial" w:cs="Arial"/>
          <w:sz w:val="20"/>
        </w:rPr>
        <w:t xml:space="preserve">, stated that for a sense of magnitude as to what the TASP cost estimates will ultimately show, the APMS study that was completed in September showed a total need of $462.2 million for pavement alone in the state. </w:t>
      </w:r>
      <w:r w:rsidR="008E1F6A">
        <w:rPr>
          <w:rFonts w:ascii="Arial" w:hAnsi="Arial" w:cs="Arial"/>
          <w:sz w:val="20"/>
        </w:rPr>
        <w:t xml:space="preserve">The cost estimates for all airport projects will be much higher. </w:t>
      </w:r>
      <w:r w:rsidR="008E1F6A">
        <w:rPr>
          <w:rFonts w:ascii="Arial" w:hAnsi="Arial" w:cs="Arial"/>
          <w:sz w:val="20"/>
          <w:szCs w:val="20"/>
        </w:rPr>
        <w:t xml:space="preserve">Roy Remington, </w:t>
      </w:r>
      <w:r w:rsidR="008E1F6A" w:rsidRPr="004E64A7">
        <w:rPr>
          <w:rFonts w:ascii="Arial" w:hAnsi="Arial" w:cs="Arial"/>
          <w:sz w:val="20"/>
        </w:rPr>
        <w:t>Millington</w:t>
      </w:r>
      <w:r w:rsidR="008E1F6A">
        <w:rPr>
          <w:rFonts w:ascii="Arial" w:hAnsi="Arial" w:cs="Arial"/>
          <w:sz w:val="20"/>
        </w:rPr>
        <w:t xml:space="preserve"> – Memphis </w:t>
      </w:r>
      <w:r w:rsidR="008E1F6A" w:rsidRPr="004E64A7">
        <w:rPr>
          <w:rFonts w:ascii="Arial" w:hAnsi="Arial" w:cs="Arial"/>
          <w:sz w:val="20"/>
        </w:rPr>
        <w:t>Airport</w:t>
      </w:r>
      <w:r w:rsidR="008E1F6A">
        <w:rPr>
          <w:rFonts w:ascii="Arial" w:hAnsi="Arial" w:cs="Arial"/>
          <w:sz w:val="20"/>
        </w:rPr>
        <w:t>,</w:t>
      </w:r>
      <w:r w:rsidR="008E1F6A">
        <w:rPr>
          <w:rFonts w:ascii="Arial" w:hAnsi="Arial" w:cs="Arial"/>
          <w:sz w:val="20"/>
        </w:rPr>
        <w:t xml:space="preserve"> stated that this was a telling number, but a number of such magnitude is difficult for elected officials to gr</w:t>
      </w:r>
      <w:r w:rsidR="00C927F8">
        <w:rPr>
          <w:rFonts w:ascii="Arial" w:hAnsi="Arial" w:cs="Arial"/>
          <w:sz w:val="20"/>
        </w:rPr>
        <w:t>asp. A breakdown of costs per fiscal year would be helpful. Zach DeVeau, Kimley-Horn, noted that cost estimates will be provided as part of three phases: Less than 5 years, 5 to 10 years, and greater than 10 years. This may be helpful to break the cost estimates into “buckets” for elected officials.</w:t>
      </w:r>
      <w:r w:rsidR="00612829">
        <w:rPr>
          <w:rFonts w:ascii="Arial" w:hAnsi="Arial" w:cs="Arial"/>
          <w:sz w:val="20"/>
        </w:rPr>
        <w:t xml:space="preserve"> Evan Lester, TDOT Aeronautics Division, added that there will be a TASP Executive Summary at the end of this project that will provide further detail on this topic.</w:t>
      </w:r>
    </w:p>
    <w:p w14:paraId="363490A2" w14:textId="199D63E1" w:rsidR="000A3A82" w:rsidRDefault="000A3A82" w:rsidP="00FA030B">
      <w:pPr>
        <w:rPr>
          <w:rFonts w:ascii="Arial" w:hAnsi="Arial" w:cs="Arial"/>
          <w:sz w:val="20"/>
        </w:rPr>
      </w:pPr>
    </w:p>
    <w:p w14:paraId="460D7E16" w14:textId="77777777" w:rsidR="000A3A82" w:rsidRDefault="000A3A82" w:rsidP="00FA030B">
      <w:pPr>
        <w:rPr>
          <w:rFonts w:ascii="Arial" w:hAnsi="Arial" w:cs="Arial"/>
          <w:sz w:val="20"/>
          <w:szCs w:val="20"/>
        </w:rPr>
      </w:pPr>
    </w:p>
    <w:p w14:paraId="30D5D5EC" w14:textId="55969E49" w:rsidR="00106357" w:rsidRDefault="00CA0C2D" w:rsidP="00106357">
      <w:pPr>
        <w:rPr>
          <w:rFonts w:ascii="Arial" w:hAnsi="Arial" w:cs="Arial"/>
          <w:b/>
          <w:color w:val="001999"/>
        </w:rPr>
      </w:pPr>
      <w:r>
        <w:rPr>
          <w:rFonts w:ascii="Arial" w:hAnsi="Arial" w:cs="Arial"/>
          <w:b/>
          <w:color w:val="001999"/>
        </w:rPr>
        <w:lastRenderedPageBreak/>
        <w:t>Next Steps</w:t>
      </w:r>
    </w:p>
    <w:p w14:paraId="680423D7" w14:textId="79F6FBE7" w:rsidR="00106357" w:rsidRPr="00123BB2" w:rsidRDefault="00CA0C2D" w:rsidP="00FA030B">
      <w:pPr>
        <w:rPr>
          <w:rFonts w:ascii="Arial" w:hAnsi="Arial" w:cs="Arial"/>
          <w:sz w:val="20"/>
          <w:szCs w:val="20"/>
        </w:rPr>
      </w:pPr>
      <w:r>
        <w:rPr>
          <w:rFonts w:ascii="Arial" w:hAnsi="Arial" w:cs="Arial"/>
          <w:sz w:val="20"/>
          <w:szCs w:val="20"/>
        </w:rPr>
        <w:t xml:space="preserve">Zach DeVeau, Kimley-Horn, provided an overview of what drafts would be provided </w:t>
      </w:r>
      <w:r w:rsidR="00F444F0">
        <w:rPr>
          <w:rFonts w:ascii="Arial" w:hAnsi="Arial" w:cs="Arial"/>
          <w:sz w:val="20"/>
          <w:szCs w:val="20"/>
        </w:rPr>
        <w:t xml:space="preserve">next </w:t>
      </w:r>
      <w:r>
        <w:rPr>
          <w:rFonts w:ascii="Arial" w:hAnsi="Arial" w:cs="Arial"/>
          <w:sz w:val="20"/>
          <w:szCs w:val="20"/>
        </w:rPr>
        <w:t xml:space="preserve">to the TASP AC. </w:t>
      </w:r>
      <w:r w:rsidR="008A3C0A">
        <w:rPr>
          <w:rFonts w:ascii="Arial" w:hAnsi="Arial" w:cs="Arial"/>
          <w:sz w:val="20"/>
          <w:szCs w:val="20"/>
        </w:rPr>
        <w:t xml:space="preserve">For the TASP, </w:t>
      </w:r>
      <w:r w:rsidR="008A3C0A" w:rsidRPr="008A3C0A">
        <w:rPr>
          <w:rFonts w:ascii="Arial" w:hAnsi="Arial" w:cs="Arial"/>
          <w:sz w:val="20"/>
          <w:szCs w:val="20"/>
        </w:rPr>
        <w:t>Chapter 8: Future System Performance</w:t>
      </w:r>
      <w:r w:rsidR="008A3C0A">
        <w:rPr>
          <w:rFonts w:ascii="Arial" w:hAnsi="Arial" w:cs="Arial"/>
          <w:sz w:val="20"/>
          <w:szCs w:val="20"/>
        </w:rPr>
        <w:t xml:space="preserve"> will be provided next. For the Economic Impact Study, </w:t>
      </w:r>
      <w:r w:rsidR="004719D8">
        <w:rPr>
          <w:rFonts w:ascii="Arial" w:hAnsi="Arial" w:cs="Arial"/>
          <w:sz w:val="20"/>
          <w:szCs w:val="20"/>
        </w:rPr>
        <w:t>the individual airport brochures will be sent out next.</w:t>
      </w:r>
    </w:p>
    <w:p w14:paraId="2C046EDB" w14:textId="225AE20F" w:rsidR="008A5BC6" w:rsidRPr="008A5BC6" w:rsidRDefault="008A5BC6" w:rsidP="00CA0C2D">
      <w:pPr>
        <w:rPr>
          <w:rFonts w:ascii="Arial" w:hAnsi="Arial" w:cs="Arial"/>
          <w:sz w:val="20"/>
        </w:rPr>
      </w:pPr>
      <w:r>
        <w:rPr>
          <w:rFonts w:ascii="Arial" w:hAnsi="Arial" w:cs="Arial"/>
          <w:sz w:val="20"/>
        </w:rPr>
        <w:t xml:space="preserve">Note: a copy of the presentation </w:t>
      </w:r>
      <w:r w:rsidR="005C33AB">
        <w:rPr>
          <w:rFonts w:ascii="Arial" w:hAnsi="Arial" w:cs="Arial"/>
          <w:sz w:val="20"/>
        </w:rPr>
        <w:t xml:space="preserve">provided at </w:t>
      </w:r>
      <w:r>
        <w:rPr>
          <w:rFonts w:ascii="Arial" w:hAnsi="Arial" w:cs="Arial"/>
          <w:sz w:val="20"/>
        </w:rPr>
        <w:t xml:space="preserve">the meeting can be found here: </w:t>
      </w:r>
      <w:hyperlink r:id="rId16" w:history="1">
        <w:r w:rsidR="0021399A" w:rsidRPr="008E3DD3">
          <w:rPr>
            <w:rStyle w:val="Hyperlink"/>
            <w:rFonts w:ascii="Arial" w:hAnsi="Arial" w:cs="Arial"/>
            <w:sz w:val="20"/>
          </w:rPr>
          <w:t>www.tasp2040.com/public-outreach/</w:t>
        </w:r>
      </w:hyperlink>
      <w:r w:rsidR="00F907A4">
        <w:rPr>
          <w:rFonts w:ascii="Arial" w:hAnsi="Arial" w:cs="Arial"/>
          <w:sz w:val="20"/>
        </w:rPr>
        <w:t xml:space="preserve">. </w:t>
      </w:r>
    </w:p>
    <w:p w14:paraId="5086E9A2" w14:textId="77777777" w:rsidR="00A223F0" w:rsidRDefault="0047429A" w:rsidP="0047429A">
      <w:pPr>
        <w:pStyle w:val="Heading1"/>
        <w:rPr>
          <w:rFonts w:ascii="Arial" w:hAnsi="Arial" w:cs="Arial"/>
          <w:b/>
          <w:color w:val="001999"/>
          <w:sz w:val="22"/>
        </w:rPr>
      </w:pPr>
      <w:r>
        <w:rPr>
          <w:rFonts w:ascii="Arial" w:hAnsi="Arial" w:cs="Arial"/>
          <w:b/>
          <w:color w:val="001999"/>
          <w:sz w:val="22"/>
        </w:rPr>
        <w:t>Action Items</w:t>
      </w:r>
    </w:p>
    <w:p w14:paraId="5086E9A3" w14:textId="77777777" w:rsidR="00CF16FB" w:rsidRPr="00637746" w:rsidRDefault="00CF16FB" w:rsidP="00CF16FB">
      <w:pPr>
        <w:rPr>
          <w:sz w:val="8"/>
        </w:rPr>
      </w:pPr>
    </w:p>
    <w:tbl>
      <w:tblPr>
        <w:tblStyle w:val="TableGrid"/>
        <w:tblW w:w="0" w:type="auto"/>
        <w:jc w:val="center"/>
        <w:tblLook w:val="04A0" w:firstRow="1" w:lastRow="0" w:firstColumn="1" w:lastColumn="0" w:noHBand="0" w:noVBand="1"/>
      </w:tblPr>
      <w:tblGrid>
        <w:gridCol w:w="4631"/>
        <w:gridCol w:w="2475"/>
        <w:gridCol w:w="2244"/>
      </w:tblGrid>
      <w:tr w:rsidR="0047429A" w:rsidRPr="0047429A" w14:paraId="5086E9A7" w14:textId="77777777" w:rsidTr="00433E09">
        <w:trPr>
          <w:jc w:val="center"/>
        </w:trPr>
        <w:tc>
          <w:tcPr>
            <w:tcW w:w="4631" w:type="dxa"/>
            <w:shd w:val="clear" w:color="auto" w:fill="7D7C7D"/>
          </w:tcPr>
          <w:p w14:paraId="5086E9A4" w14:textId="77777777" w:rsidR="0047429A" w:rsidRPr="00433E09" w:rsidRDefault="0047429A" w:rsidP="0047429A">
            <w:pPr>
              <w:jc w:val="center"/>
              <w:rPr>
                <w:rFonts w:ascii="Arial" w:hAnsi="Arial" w:cs="Arial"/>
                <w:b/>
                <w:color w:val="FFFFFF" w:themeColor="background1"/>
              </w:rPr>
            </w:pPr>
            <w:r w:rsidRPr="00433E09">
              <w:rPr>
                <w:rFonts w:ascii="Arial" w:hAnsi="Arial" w:cs="Arial"/>
                <w:b/>
                <w:color w:val="FFFFFF" w:themeColor="background1"/>
              </w:rPr>
              <w:t>Action</w:t>
            </w:r>
          </w:p>
        </w:tc>
        <w:tc>
          <w:tcPr>
            <w:tcW w:w="2475" w:type="dxa"/>
            <w:shd w:val="clear" w:color="auto" w:fill="7D7C7D"/>
          </w:tcPr>
          <w:p w14:paraId="5086E9A5" w14:textId="77777777" w:rsidR="0047429A" w:rsidRPr="00433E09" w:rsidRDefault="0047429A" w:rsidP="0047429A">
            <w:pPr>
              <w:jc w:val="center"/>
              <w:rPr>
                <w:rFonts w:ascii="Arial" w:hAnsi="Arial" w:cs="Arial"/>
                <w:b/>
                <w:color w:val="FFFFFF" w:themeColor="background1"/>
              </w:rPr>
            </w:pPr>
            <w:r w:rsidRPr="00433E09">
              <w:rPr>
                <w:rFonts w:ascii="Arial" w:hAnsi="Arial" w:cs="Arial"/>
                <w:b/>
                <w:color w:val="FFFFFF" w:themeColor="background1"/>
              </w:rPr>
              <w:t>Party Responsible</w:t>
            </w:r>
          </w:p>
        </w:tc>
        <w:tc>
          <w:tcPr>
            <w:tcW w:w="2244" w:type="dxa"/>
            <w:shd w:val="clear" w:color="auto" w:fill="7D7C7D"/>
          </w:tcPr>
          <w:p w14:paraId="5086E9A6" w14:textId="77777777" w:rsidR="0047429A" w:rsidRPr="00433E09" w:rsidRDefault="0047429A" w:rsidP="0047429A">
            <w:pPr>
              <w:jc w:val="center"/>
              <w:rPr>
                <w:rFonts w:ascii="Arial" w:hAnsi="Arial" w:cs="Arial"/>
                <w:b/>
                <w:color w:val="FFFFFF" w:themeColor="background1"/>
              </w:rPr>
            </w:pPr>
            <w:r w:rsidRPr="00433E09">
              <w:rPr>
                <w:rFonts w:ascii="Arial" w:hAnsi="Arial" w:cs="Arial"/>
                <w:b/>
                <w:color w:val="FFFFFF" w:themeColor="background1"/>
              </w:rPr>
              <w:t>Status</w:t>
            </w:r>
          </w:p>
        </w:tc>
      </w:tr>
      <w:tr w:rsidR="0047429A" w:rsidRPr="0047429A" w14:paraId="5086E9AB" w14:textId="77777777" w:rsidTr="0047429A">
        <w:trPr>
          <w:jc w:val="center"/>
        </w:trPr>
        <w:tc>
          <w:tcPr>
            <w:tcW w:w="4631" w:type="dxa"/>
          </w:tcPr>
          <w:p w14:paraId="5086E9A8" w14:textId="296B6EBB" w:rsidR="0047429A" w:rsidRPr="0047429A" w:rsidRDefault="008E7F12" w:rsidP="0047429A">
            <w:pPr>
              <w:rPr>
                <w:rFonts w:ascii="Arial" w:hAnsi="Arial" w:cs="Arial"/>
                <w:sz w:val="20"/>
              </w:rPr>
            </w:pPr>
            <w:r>
              <w:rPr>
                <w:rFonts w:ascii="Arial" w:hAnsi="Arial" w:cs="Arial"/>
                <w:sz w:val="20"/>
              </w:rPr>
              <w:t>Update project website with meeting materials</w:t>
            </w:r>
          </w:p>
        </w:tc>
        <w:tc>
          <w:tcPr>
            <w:tcW w:w="2475" w:type="dxa"/>
          </w:tcPr>
          <w:p w14:paraId="5086E9A9" w14:textId="77777777" w:rsidR="0047429A" w:rsidRPr="0047429A" w:rsidRDefault="0047429A" w:rsidP="0047429A">
            <w:pPr>
              <w:rPr>
                <w:rFonts w:ascii="Arial" w:hAnsi="Arial" w:cs="Arial"/>
                <w:sz w:val="20"/>
              </w:rPr>
            </w:pPr>
            <w:r>
              <w:rPr>
                <w:rFonts w:ascii="Arial" w:hAnsi="Arial" w:cs="Arial"/>
                <w:sz w:val="20"/>
              </w:rPr>
              <w:t>Kimley-Horn</w:t>
            </w:r>
          </w:p>
        </w:tc>
        <w:tc>
          <w:tcPr>
            <w:tcW w:w="2244" w:type="dxa"/>
          </w:tcPr>
          <w:p w14:paraId="5086E9AA" w14:textId="51CE67A7" w:rsidR="0047429A" w:rsidRPr="0047429A" w:rsidRDefault="008E7F12" w:rsidP="0047429A">
            <w:pPr>
              <w:rPr>
                <w:rFonts w:ascii="Arial" w:hAnsi="Arial" w:cs="Arial"/>
                <w:sz w:val="20"/>
              </w:rPr>
            </w:pPr>
            <w:r>
              <w:rPr>
                <w:rFonts w:ascii="Arial" w:hAnsi="Arial" w:cs="Arial"/>
                <w:sz w:val="20"/>
              </w:rPr>
              <w:t>Complete</w:t>
            </w:r>
          </w:p>
        </w:tc>
      </w:tr>
      <w:tr w:rsidR="0047429A" w:rsidRPr="0047429A" w14:paraId="5086E9AF" w14:textId="77777777" w:rsidTr="0047429A">
        <w:trPr>
          <w:jc w:val="center"/>
        </w:trPr>
        <w:tc>
          <w:tcPr>
            <w:tcW w:w="4631" w:type="dxa"/>
          </w:tcPr>
          <w:p w14:paraId="5086E9AC" w14:textId="2D48C6E5" w:rsidR="0047429A" w:rsidRPr="0047429A" w:rsidRDefault="00824AA3" w:rsidP="0047429A">
            <w:pPr>
              <w:rPr>
                <w:rFonts w:ascii="Arial" w:hAnsi="Arial" w:cs="Arial"/>
                <w:sz w:val="20"/>
              </w:rPr>
            </w:pPr>
            <w:r>
              <w:rPr>
                <w:rFonts w:ascii="Arial" w:hAnsi="Arial" w:cs="Arial"/>
                <w:sz w:val="20"/>
              </w:rPr>
              <w:t xml:space="preserve">Provide </w:t>
            </w:r>
            <w:r w:rsidR="004719D8" w:rsidRPr="004719D8">
              <w:rPr>
                <w:rFonts w:ascii="Arial" w:hAnsi="Arial" w:cs="Arial"/>
                <w:sz w:val="20"/>
                <w:szCs w:val="20"/>
              </w:rPr>
              <w:t>Chapter 8: Future System Performance</w:t>
            </w:r>
          </w:p>
        </w:tc>
        <w:tc>
          <w:tcPr>
            <w:tcW w:w="2475" w:type="dxa"/>
          </w:tcPr>
          <w:p w14:paraId="5086E9AD" w14:textId="0007F9F8" w:rsidR="0047429A" w:rsidRPr="0047429A" w:rsidRDefault="00943C57" w:rsidP="0047429A">
            <w:pPr>
              <w:rPr>
                <w:rFonts w:ascii="Arial" w:hAnsi="Arial" w:cs="Arial"/>
                <w:sz w:val="20"/>
              </w:rPr>
            </w:pPr>
            <w:r>
              <w:rPr>
                <w:rFonts w:ascii="Arial" w:hAnsi="Arial" w:cs="Arial"/>
                <w:sz w:val="20"/>
              </w:rPr>
              <w:t xml:space="preserve">TDOT and </w:t>
            </w:r>
            <w:r w:rsidR="0047429A">
              <w:rPr>
                <w:rFonts w:ascii="Arial" w:hAnsi="Arial" w:cs="Arial"/>
                <w:sz w:val="20"/>
              </w:rPr>
              <w:t>Kimley-Horn</w:t>
            </w:r>
          </w:p>
        </w:tc>
        <w:tc>
          <w:tcPr>
            <w:tcW w:w="2244" w:type="dxa"/>
          </w:tcPr>
          <w:p w14:paraId="5086E9AE" w14:textId="175E98F3" w:rsidR="0047429A" w:rsidRPr="0047429A" w:rsidRDefault="00943C57" w:rsidP="0047429A">
            <w:pPr>
              <w:rPr>
                <w:rFonts w:ascii="Arial" w:hAnsi="Arial" w:cs="Arial"/>
                <w:sz w:val="20"/>
              </w:rPr>
            </w:pPr>
            <w:r>
              <w:rPr>
                <w:rFonts w:ascii="Arial" w:hAnsi="Arial" w:cs="Arial"/>
                <w:sz w:val="20"/>
              </w:rPr>
              <w:t>Upcoming</w:t>
            </w:r>
          </w:p>
        </w:tc>
      </w:tr>
    </w:tbl>
    <w:p w14:paraId="5086E9BC" w14:textId="77777777" w:rsidR="0047429A" w:rsidRPr="0047429A" w:rsidRDefault="0047429A" w:rsidP="0047429A"/>
    <w:sectPr w:rsidR="0047429A" w:rsidRPr="0047429A" w:rsidSect="00A006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F2329" w14:textId="77777777" w:rsidR="00DA17AB" w:rsidRDefault="00DA17AB" w:rsidP="0083267C">
      <w:pPr>
        <w:spacing w:after="0" w:line="240" w:lineRule="auto"/>
      </w:pPr>
      <w:r>
        <w:separator/>
      </w:r>
    </w:p>
  </w:endnote>
  <w:endnote w:type="continuationSeparator" w:id="0">
    <w:p w14:paraId="1D71036D" w14:textId="77777777" w:rsidR="00DA17AB" w:rsidRDefault="00DA17AB" w:rsidP="0083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71566951"/>
      <w:docPartObj>
        <w:docPartGallery w:val="Page Numbers (Bottom of Page)"/>
        <w:docPartUnique/>
      </w:docPartObj>
    </w:sdtPr>
    <w:sdtEndPr>
      <w:rPr>
        <w:color w:val="FF0000"/>
      </w:rPr>
    </w:sdtEndPr>
    <w:sdtContent>
      <w:sdt>
        <w:sdtPr>
          <w:rPr>
            <w:rFonts w:ascii="Arial" w:hAnsi="Arial" w:cs="Arial"/>
            <w:sz w:val="20"/>
          </w:rPr>
          <w:id w:val="-1769616900"/>
          <w:docPartObj>
            <w:docPartGallery w:val="Page Numbers (Top of Page)"/>
            <w:docPartUnique/>
          </w:docPartObj>
        </w:sdtPr>
        <w:sdtEndPr>
          <w:rPr>
            <w:color w:val="FF0000"/>
          </w:rPr>
        </w:sdtEndPr>
        <w:sdtContent>
          <w:p w14:paraId="5086E9D4" w14:textId="5DEC4CE8" w:rsidR="008B6206" w:rsidRPr="0092196E" w:rsidRDefault="008B6206" w:rsidP="00A36346">
            <w:pPr>
              <w:pStyle w:val="Footer"/>
              <w:pBdr>
                <w:top w:val="single" w:sz="4" w:space="1" w:color="D9D9D9" w:themeColor="background1" w:themeShade="D9"/>
              </w:pBdr>
              <w:jc w:val="right"/>
              <w:rPr>
                <w:rFonts w:ascii="Arial" w:hAnsi="Arial" w:cs="Arial"/>
                <w:color w:val="FF0000"/>
                <w:sz w:val="20"/>
              </w:rPr>
            </w:pPr>
            <w:r w:rsidRPr="0092196E">
              <w:rPr>
                <w:rFonts w:ascii="Arial" w:hAnsi="Arial" w:cs="Arial"/>
                <w:color w:val="FF0000"/>
                <w:sz w:val="20"/>
              </w:rPr>
              <w:t>Tennessee Department of Transportation Aeronautics Division</w:t>
            </w:r>
          </w:p>
          <w:p w14:paraId="5086E9D5" w14:textId="77777777" w:rsidR="008B6206" w:rsidRPr="0092196E" w:rsidRDefault="008B6206">
            <w:pPr>
              <w:pStyle w:val="Footer"/>
              <w:jc w:val="right"/>
              <w:rPr>
                <w:rFonts w:ascii="Arial" w:hAnsi="Arial" w:cs="Arial"/>
                <w:color w:val="FF0000"/>
                <w:sz w:val="20"/>
              </w:rPr>
            </w:pPr>
            <w:r w:rsidRPr="0092196E">
              <w:rPr>
                <w:rFonts w:ascii="Arial" w:hAnsi="Arial" w:cs="Arial"/>
                <w:color w:val="FF0000"/>
                <w:sz w:val="20"/>
              </w:rPr>
              <w:t xml:space="preserve">Page </w:t>
            </w:r>
            <w:r w:rsidRPr="0092196E">
              <w:rPr>
                <w:rFonts w:ascii="Arial" w:hAnsi="Arial" w:cs="Arial"/>
                <w:b/>
                <w:bCs/>
                <w:color w:val="FF0000"/>
                <w:szCs w:val="24"/>
              </w:rPr>
              <w:fldChar w:fldCharType="begin"/>
            </w:r>
            <w:r w:rsidRPr="0092196E">
              <w:rPr>
                <w:rFonts w:ascii="Arial" w:hAnsi="Arial" w:cs="Arial"/>
                <w:b/>
                <w:bCs/>
                <w:color w:val="FF0000"/>
                <w:sz w:val="20"/>
              </w:rPr>
              <w:instrText xml:space="preserve"> PAGE </w:instrText>
            </w:r>
            <w:r w:rsidRPr="0092196E">
              <w:rPr>
                <w:rFonts w:ascii="Arial" w:hAnsi="Arial" w:cs="Arial"/>
                <w:b/>
                <w:bCs/>
                <w:color w:val="FF0000"/>
                <w:szCs w:val="24"/>
              </w:rPr>
              <w:fldChar w:fldCharType="separate"/>
            </w:r>
            <w:r>
              <w:rPr>
                <w:rFonts w:ascii="Arial" w:hAnsi="Arial" w:cs="Arial"/>
                <w:b/>
                <w:bCs/>
                <w:noProof/>
                <w:color w:val="FF0000"/>
                <w:sz w:val="20"/>
              </w:rPr>
              <w:t>7</w:t>
            </w:r>
            <w:r w:rsidRPr="0092196E">
              <w:rPr>
                <w:rFonts w:ascii="Arial" w:hAnsi="Arial" w:cs="Arial"/>
                <w:b/>
                <w:bCs/>
                <w:color w:val="FF0000"/>
                <w:szCs w:val="24"/>
              </w:rPr>
              <w:fldChar w:fldCharType="end"/>
            </w:r>
            <w:r w:rsidRPr="0092196E">
              <w:rPr>
                <w:rFonts w:ascii="Arial" w:hAnsi="Arial" w:cs="Arial"/>
                <w:color w:val="FF0000"/>
                <w:sz w:val="20"/>
              </w:rPr>
              <w:t xml:space="preserve"> of </w:t>
            </w:r>
            <w:r w:rsidRPr="0092196E">
              <w:rPr>
                <w:rFonts w:ascii="Arial" w:hAnsi="Arial" w:cs="Arial"/>
                <w:b/>
                <w:bCs/>
                <w:color w:val="FF0000"/>
                <w:szCs w:val="24"/>
              </w:rPr>
              <w:fldChar w:fldCharType="begin"/>
            </w:r>
            <w:r w:rsidRPr="0092196E">
              <w:rPr>
                <w:rFonts w:ascii="Arial" w:hAnsi="Arial" w:cs="Arial"/>
                <w:b/>
                <w:bCs/>
                <w:color w:val="FF0000"/>
                <w:sz w:val="20"/>
              </w:rPr>
              <w:instrText xml:space="preserve"> NUMPAGES  </w:instrText>
            </w:r>
            <w:r w:rsidRPr="0092196E">
              <w:rPr>
                <w:rFonts w:ascii="Arial" w:hAnsi="Arial" w:cs="Arial"/>
                <w:b/>
                <w:bCs/>
                <w:color w:val="FF0000"/>
                <w:szCs w:val="24"/>
              </w:rPr>
              <w:fldChar w:fldCharType="separate"/>
            </w:r>
            <w:r>
              <w:rPr>
                <w:rFonts w:ascii="Arial" w:hAnsi="Arial" w:cs="Arial"/>
                <w:b/>
                <w:bCs/>
                <w:noProof/>
                <w:color w:val="FF0000"/>
                <w:sz w:val="20"/>
              </w:rPr>
              <w:t>14</w:t>
            </w:r>
            <w:r w:rsidRPr="0092196E">
              <w:rPr>
                <w:rFonts w:ascii="Arial" w:hAnsi="Arial" w:cs="Arial"/>
                <w:b/>
                <w:bCs/>
                <w:color w:val="FF000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E65B" w14:textId="77777777" w:rsidR="00DA17AB" w:rsidRDefault="00DA17AB" w:rsidP="0083267C">
      <w:pPr>
        <w:spacing w:after="0" w:line="240" w:lineRule="auto"/>
      </w:pPr>
      <w:r>
        <w:separator/>
      </w:r>
    </w:p>
  </w:footnote>
  <w:footnote w:type="continuationSeparator" w:id="0">
    <w:p w14:paraId="7427BD88" w14:textId="77777777" w:rsidR="00DA17AB" w:rsidRDefault="00DA17AB" w:rsidP="0083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E9CF" w14:textId="77777777" w:rsidR="008B6206" w:rsidRPr="0092196E" w:rsidRDefault="008B6206" w:rsidP="00C55B71">
    <w:pPr>
      <w:pStyle w:val="Header"/>
      <w:jc w:val="right"/>
      <w:rPr>
        <w:rFonts w:ascii="Arial" w:hAnsi="Arial" w:cs="Arial"/>
        <w:color w:val="FF0F00"/>
        <w:sz w:val="20"/>
      </w:rPr>
    </w:pPr>
    <w:r w:rsidRPr="0092196E">
      <w:rPr>
        <w:rFonts w:ascii="Arial" w:hAnsi="Arial" w:cs="Arial"/>
        <w:noProof/>
        <w:color w:val="FF0F00"/>
        <w:sz w:val="20"/>
      </w:rPr>
      <w:drawing>
        <wp:anchor distT="0" distB="0" distL="114300" distR="114300" simplePos="0" relativeHeight="251658240" behindDoc="0" locked="0" layoutInCell="1" allowOverlap="1" wp14:anchorId="5086E9D6" wp14:editId="5086E9D7">
          <wp:simplePos x="0" y="0"/>
          <wp:positionH relativeFrom="column">
            <wp:posOffset>-283845</wp:posOffset>
          </wp:positionH>
          <wp:positionV relativeFrom="paragraph">
            <wp:posOffset>-204952</wp:posOffset>
          </wp:positionV>
          <wp:extent cx="1230669" cy="536028"/>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69" cy="5360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96E">
      <w:rPr>
        <w:rFonts w:ascii="Arial" w:hAnsi="Arial" w:cs="Arial"/>
        <w:color w:val="FF0F00"/>
        <w:sz w:val="20"/>
      </w:rPr>
      <w:t>Tennessee Aviation System Plan</w:t>
    </w:r>
  </w:p>
  <w:p w14:paraId="5086E9D0" w14:textId="77777777" w:rsidR="008B6206" w:rsidRPr="0092196E" w:rsidRDefault="008B6206" w:rsidP="00C55B71">
    <w:pPr>
      <w:pStyle w:val="Header"/>
      <w:jc w:val="right"/>
      <w:rPr>
        <w:rFonts w:ascii="Arial" w:hAnsi="Arial" w:cs="Arial"/>
        <w:color w:val="FF0F00"/>
        <w:sz w:val="20"/>
      </w:rPr>
    </w:pPr>
    <w:r w:rsidRPr="0092196E">
      <w:rPr>
        <w:rFonts w:ascii="Arial" w:hAnsi="Arial" w:cs="Arial"/>
        <w:color w:val="FF0F00"/>
        <w:sz w:val="20"/>
      </w:rPr>
      <w:t xml:space="preserve"> &amp; Economic Impact Study</w:t>
    </w:r>
  </w:p>
  <w:p w14:paraId="5570D5A1" w14:textId="0FB13D73" w:rsidR="008B6206" w:rsidRPr="0092196E" w:rsidRDefault="008B6206" w:rsidP="00A340C6">
    <w:pPr>
      <w:pStyle w:val="Header"/>
      <w:jc w:val="right"/>
      <w:rPr>
        <w:rFonts w:ascii="Arial" w:hAnsi="Arial" w:cs="Arial"/>
        <w:color w:val="FF0F00"/>
        <w:sz w:val="20"/>
      </w:rPr>
    </w:pPr>
    <w:r w:rsidRPr="0092196E">
      <w:rPr>
        <w:rFonts w:ascii="Arial" w:hAnsi="Arial" w:cs="Arial"/>
        <w:color w:val="FF0F00"/>
        <w:sz w:val="20"/>
      </w:rPr>
      <w:t>Advisory Committee Meeting #</w:t>
    </w:r>
    <w:r w:rsidR="0065064A">
      <w:rPr>
        <w:rFonts w:ascii="Arial" w:hAnsi="Arial" w:cs="Arial"/>
        <w:color w:val="FF0F00"/>
        <w:sz w:val="20"/>
      </w:rPr>
      <w:t>4</w:t>
    </w:r>
    <w:r w:rsidRPr="0092196E">
      <w:rPr>
        <w:rFonts w:ascii="Arial" w:hAnsi="Arial" w:cs="Arial"/>
        <w:color w:val="FF0F00"/>
        <w:sz w:val="20"/>
      </w:rPr>
      <w:t xml:space="preserve"> Summary</w:t>
    </w:r>
  </w:p>
  <w:p w14:paraId="5086E9D2" w14:textId="77777777" w:rsidR="008B6206" w:rsidRDefault="008B6206">
    <w:pPr>
      <w:pStyle w:val="Header"/>
    </w:pPr>
  </w:p>
  <w:p w14:paraId="5086E9D3" w14:textId="77777777" w:rsidR="008B6206" w:rsidRDefault="008B6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3264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EC4D3D"/>
    <w:multiLevelType w:val="hybridMultilevel"/>
    <w:tmpl w:val="DB1E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6501A"/>
    <w:multiLevelType w:val="hybridMultilevel"/>
    <w:tmpl w:val="9996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80A2B"/>
    <w:multiLevelType w:val="hybridMultilevel"/>
    <w:tmpl w:val="A3B0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751D7"/>
    <w:multiLevelType w:val="hybridMultilevel"/>
    <w:tmpl w:val="C1E4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93F9A"/>
    <w:multiLevelType w:val="hybridMultilevel"/>
    <w:tmpl w:val="7076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96400"/>
    <w:multiLevelType w:val="hybridMultilevel"/>
    <w:tmpl w:val="2EE4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718FD"/>
    <w:multiLevelType w:val="hybridMultilevel"/>
    <w:tmpl w:val="A5B8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A6A18"/>
    <w:multiLevelType w:val="hybridMultilevel"/>
    <w:tmpl w:val="EE0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44816"/>
    <w:multiLevelType w:val="hybridMultilevel"/>
    <w:tmpl w:val="7B92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63FA9"/>
    <w:multiLevelType w:val="hybridMultilevel"/>
    <w:tmpl w:val="FD02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A0331"/>
    <w:multiLevelType w:val="hybridMultilevel"/>
    <w:tmpl w:val="2A46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00430"/>
    <w:multiLevelType w:val="hybridMultilevel"/>
    <w:tmpl w:val="CF90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C23F4"/>
    <w:multiLevelType w:val="hybridMultilevel"/>
    <w:tmpl w:val="E6B4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76A1C"/>
    <w:multiLevelType w:val="hybridMultilevel"/>
    <w:tmpl w:val="1A78F51E"/>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46BB2E0A"/>
    <w:multiLevelType w:val="hybridMultilevel"/>
    <w:tmpl w:val="EDD8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84AEC"/>
    <w:multiLevelType w:val="hybridMultilevel"/>
    <w:tmpl w:val="11CA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94E01"/>
    <w:multiLevelType w:val="hybridMultilevel"/>
    <w:tmpl w:val="8852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C0CDA"/>
    <w:multiLevelType w:val="hybridMultilevel"/>
    <w:tmpl w:val="81A6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44A91"/>
    <w:multiLevelType w:val="hybridMultilevel"/>
    <w:tmpl w:val="1C76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72B51"/>
    <w:multiLevelType w:val="hybridMultilevel"/>
    <w:tmpl w:val="EA1C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6042D"/>
    <w:multiLevelType w:val="hybridMultilevel"/>
    <w:tmpl w:val="A8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30598"/>
    <w:multiLevelType w:val="hybridMultilevel"/>
    <w:tmpl w:val="6C9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52C34"/>
    <w:multiLevelType w:val="hybridMultilevel"/>
    <w:tmpl w:val="4F0ABD90"/>
    <w:lvl w:ilvl="0" w:tplc="5ED463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52E62"/>
    <w:multiLevelType w:val="hybridMultilevel"/>
    <w:tmpl w:val="2218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72085"/>
    <w:multiLevelType w:val="hybridMultilevel"/>
    <w:tmpl w:val="68D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F57B8"/>
    <w:multiLevelType w:val="hybridMultilevel"/>
    <w:tmpl w:val="37D427C8"/>
    <w:lvl w:ilvl="0" w:tplc="62525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73CFD"/>
    <w:multiLevelType w:val="hybridMultilevel"/>
    <w:tmpl w:val="DB8E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
  </w:num>
  <w:num w:numId="4">
    <w:abstractNumId w:val="4"/>
  </w:num>
  <w:num w:numId="5">
    <w:abstractNumId w:val="17"/>
  </w:num>
  <w:num w:numId="6">
    <w:abstractNumId w:val="16"/>
  </w:num>
  <w:num w:numId="7">
    <w:abstractNumId w:val="26"/>
  </w:num>
  <w:num w:numId="8">
    <w:abstractNumId w:val="18"/>
  </w:num>
  <w:num w:numId="9">
    <w:abstractNumId w:val="1"/>
  </w:num>
  <w:num w:numId="10">
    <w:abstractNumId w:val="21"/>
  </w:num>
  <w:num w:numId="11">
    <w:abstractNumId w:val="25"/>
  </w:num>
  <w:num w:numId="12">
    <w:abstractNumId w:val="9"/>
  </w:num>
  <w:num w:numId="13">
    <w:abstractNumId w:val="23"/>
  </w:num>
  <w:num w:numId="14">
    <w:abstractNumId w:val="8"/>
  </w:num>
  <w:num w:numId="15">
    <w:abstractNumId w:val="11"/>
  </w:num>
  <w:num w:numId="16">
    <w:abstractNumId w:val="19"/>
  </w:num>
  <w:num w:numId="17">
    <w:abstractNumId w:val="20"/>
  </w:num>
  <w:num w:numId="18">
    <w:abstractNumId w:val="14"/>
  </w:num>
  <w:num w:numId="19">
    <w:abstractNumId w:val="5"/>
  </w:num>
  <w:num w:numId="20">
    <w:abstractNumId w:val="6"/>
  </w:num>
  <w:num w:numId="21">
    <w:abstractNumId w:val="27"/>
  </w:num>
  <w:num w:numId="22">
    <w:abstractNumId w:val="12"/>
  </w:num>
  <w:num w:numId="23">
    <w:abstractNumId w:val="13"/>
  </w:num>
  <w:num w:numId="24">
    <w:abstractNumId w:val="3"/>
  </w:num>
  <w:num w:numId="25">
    <w:abstractNumId w:val="7"/>
  </w:num>
  <w:num w:numId="26">
    <w:abstractNumId w:val="15"/>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00"/>
    <w:rsid w:val="00003A2A"/>
    <w:rsid w:val="0002229A"/>
    <w:rsid w:val="00024A78"/>
    <w:rsid w:val="00027045"/>
    <w:rsid w:val="00032D11"/>
    <w:rsid w:val="00036489"/>
    <w:rsid w:val="000422EC"/>
    <w:rsid w:val="00043BD6"/>
    <w:rsid w:val="00061B63"/>
    <w:rsid w:val="00070329"/>
    <w:rsid w:val="00075394"/>
    <w:rsid w:val="00086AAC"/>
    <w:rsid w:val="000A3A82"/>
    <w:rsid w:val="000C01D1"/>
    <w:rsid w:val="000C5FE4"/>
    <w:rsid w:val="000E4678"/>
    <w:rsid w:val="000E5C4A"/>
    <w:rsid w:val="000F36A3"/>
    <w:rsid w:val="000F3F82"/>
    <w:rsid w:val="000F3FE4"/>
    <w:rsid w:val="0010562F"/>
    <w:rsid w:val="00106357"/>
    <w:rsid w:val="00114177"/>
    <w:rsid w:val="00114E8A"/>
    <w:rsid w:val="00120393"/>
    <w:rsid w:val="00123BB2"/>
    <w:rsid w:val="001338A8"/>
    <w:rsid w:val="00133F40"/>
    <w:rsid w:val="00140A4D"/>
    <w:rsid w:val="00143D3F"/>
    <w:rsid w:val="001452BA"/>
    <w:rsid w:val="00146508"/>
    <w:rsid w:val="0014774E"/>
    <w:rsid w:val="00147C1B"/>
    <w:rsid w:val="001520A1"/>
    <w:rsid w:val="00174854"/>
    <w:rsid w:val="00184B36"/>
    <w:rsid w:val="001879F8"/>
    <w:rsid w:val="00191022"/>
    <w:rsid w:val="00194319"/>
    <w:rsid w:val="001A5ACC"/>
    <w:rsid w:val="001C207D"/>
    <w:rsid w:val="001C779B"/>
    <w:rsid w:val="001D73FD"/>
    <w:rsid w:val="001E7D03"/>
    <w:rsid w:val="001F274A"/>
    <w:rsid w:val="0021399A"/>
    <w:rsid w:val="00214A7D"/>
    <w:rsid w:val="00214A93"/>
    <w:rsid w:val="00216F75"/>
    <w:rsid w:val="00227BCF"/>
    <w:rsid w:val="002305F2"/>
    <w:rsid w:val="002316F1"/>
    <w:rsid w:val="00236F91"/>
    <w:rsid w:val="00243F77"/>
    <w:rsid w:val="00244EAD"/>
    <w:rsid w:val="00253123"/>
    <w:rsid w:val="00270B39"/>
    <w:rsid w:val="00283DC7"/>
    <w:rsid w:val="002907BC"/>
    <w:rsid w:val="002A0A9B"/>
    <w:rsid w:val="002B0ECD"/>
    <w:rsid w:val="002B2BD9"/>
    <w:rsid w:val="002B5D48"/>
    <w:rsid w:val="002C4A27"/>
    <w:rsid w:val="002C4D9A"/>
    <w:rsid w:val="002C4EF7"/>
    <w:rsid w:val="002D1380"/>
    <w:rsid w:val="002D3209"/>
    <w:rsid w:val="00302EAD"/>
    <w:rsid w:val="003116F7"/>
    <w:rsid w:val="00317133"/>
    <w:rsid w:val="00317CB1"/>
    <w:rsid w:val="00326869"/>
    <w:rsid w:val="00336754"/>
    <w:rsid w:val="00342BE1"/>
    <w:rsid w:val="00355BD0"/>
    <w:rsid w:val="00363387"/>
    <w:rsid w:val="003645D6"/>
    <w:rsid w:val="00372744"/>
    <w:rsid w:val="00374585"/>
    <w:rsid w:val="00375B4A"/>
    <w:rsid w:val="00381F56"/>
    <w:rsid w:val="0038349D"/>
    <w:rsid w:val="0038760C"/>
    <w:rsid w:val="003909A2"/>
    <w:rsid w:val="00390A34"/>
    <w:rsid w:val="003947BD"/>
    <w:rsid w:val="00395F45"/>
    <w:rsid w:val="003B27ED"/>
    <w:rsid w:val="003C34BF"/>
    <w:rsid w:val="003E2CBB"/>
    <w:rsid w:val="003E68A5"/>
    <w:rsid w:val="003F0598"/>
    <w:rsid w:val="00412C56"/>
    <w:rsid w:val="00421FFC"/>
    <w:rsid w:val="004222D2"/>
    <w:rsid w:val="00433E09"/>
    <w:rsid w:val="004524AE"/>
    <w:rsid w:val="0045683E"/>
    <w:rsid w:val="00457A30"/>
    <w:rsid w:val="004618F1"/>
    <w:rsid w:val="004719D8"/>
    <w:rsid w:val="0047429A"/>
    <w:rsid w:val="0048081E"/>
    <w:rsid w:val="00483A26"/>
    <w:rsid w:val="00490078"/>
    <w:rsid w:val="0049091B"/>
    <w:rsid w:val="004A51EE"/>
    <w:rsid w:val="004A7121"/>
    <w:rsid w:val="004B36C6"/>
    <w:rsid w:val="004B72AE"/>
    <w:rsid w:val="004C23AE"/>
    <w:rsid w:val="004D00A4"/>
    <w:rsid w:val="004D49A0"/>
    <w:rsid w:val="004E64A7"/>
    <w:rsid w:val="004F1DEA"/>
    <w:rsid w:val="005038BE"/>
    <w:rsid w:val="00505BB4"/>
    <w:rsid w:val="005154B4"/>
    <w:rsid w:val="00515CCA"/>
    <w:rsid w:val="00557FBB"/>
    <w:rsid w:val="00562418"/>
    <w:rsid w:val="005628EC"/>
    <w:rsid w:val="005721C9"/>
    <w:rsid w:val="0057487B"/>
    <w:rsid w:val="00581CB4"/>
    <w:rsid w:val="00583D8A"/>
    <w:rsid w:val="00591BCE"/>
    <w:rsid w:val="00592D03"/>
    <w:rsid w:val="00593EF9"/>
    <w:rsid w:val="00596279"/>
    <w:rsid w:val="005A34E8"/>
    <w:rsid w:val="005B2AB2"/>
    <w:rsid w:val="005B51FF"/>
    <w:rsid w:val="005C2508"/>
    <w:rsid w:val="005C33AB"/>
    <w:rsid w:val="005D3570"/>
    <w:rsid w:val="005D4437"/>
    <w:rsid w:val="005E16B3"/>
    <w:rsid w:val="005E55FD"/>
    <w:rsid w:val="005E6B93"/>
    <w:rsid w:val="005E7900"/>
    <w:rsid w:val="005F4D54"/>
    <w:rsid w:val="005F5D60"/>
    <w:rsid w:val="00612829"/>
    <w:rsid w:val="00612D30"/>
    <w:rsid w:val="00620317"/>
    <w:rsid w:val="00622AD4"/>
    <w:rsid w:val="006239C5"/>
    <w:rsid w:val="006278FC"/>
    <w:rsid w:val="00632095"/>
    <w:rsid w:val="00632CFC"/>
    <w:rsid w:val="00633487"/>
    <w:rsid w:val="00635E1A"/>
    <w:rsid w:val="00637746"/>
    <w:rsid w:val="00643A49"/>
    <w:rsid w:val="0065064A"/>
    <w:rsid w:val="006509A6"/>
    <w:rsid w:val="00651B94"/>
    <w:rsid w:val="0066415A"/>
    <w:rsid w:val="0069420B"/>
    <w:rsid w:val="006B5485"/>
    <w:rsid w:val="006C201F"/>
    <w:rsid w:val="006C60BB"/>
    <w:rsid w:val="006D491F"/>
    <w:rsid w:val="006D782C"/>
    <w:rsid w:val="006E66D0"/>
    <w:rsid w:val="006F07BB"/>
    <w:rsid w:val="006F3C30"/>
    <w:rsid w:val="0070085B"/>
    <w:rsid w:val="007034C6"/>
    <w:rsid w:val="007178C7"/>
    <w:rsid w:val="0072257D"/>
    <w:rsid w:val="007239F8"/>
    <w:rsid w:val="00732874"/>
    <w:rsid w:val="0073374F"/>
    <w:rsid w:val="00742A96"/>
    <w:rsid w:val="00745EBD"/>
    <w:rsid w:val="00751420"/>
    <w:rsid w:val="00760E12"/>
    <w:rsid w:val="00763006"/>
    <w:rsid w:val="00770D3B"/>
    <w:rsid w:val="0078131B"/>
    <w:rsid w:val="007928E2"/>
    <w:rsid w:val="007A31F7"/>
    <w:rsid w:val="007A5A8B"/>
    <w:rsid w:val="007B0A6C"/>
    <w:rsid w:val="007C4284"/>
    <w:rsid w:val="007C7C94"/>
    <w:rsid w:val="007D030A"/>
    <w:rsid w:val="007D791D"/>
    <w:rsid w:val="007E526D"/>
    <w:rsid w:val="007F029A"/>
    <w:rsid w:val="007F45A9"/>
    <w:rsid w:val="0080253D"/>
    <w:rsid w:val="008031AB"/>
    <w:rsid w:val="008057E4"/>
    <w:rsid w:val="008070E2"/>
    <w:rsid w:val="00807489"/>
    <w:rsid w:val="00815962"/>
    <w:rsid w:val="00817CB3"/>
    <w:rsid w:val="0082174C"/>
    <w:rsid w:val="00824AA3"/>
    <w:rsid w:val="00832366"/>
    <w:rsid w:val="0083267C"/>
    <w:rsid w:val="00836DAC"/>
    <w:rsid w:val="008413E4"/>
    <w:rsid w:val="00850BF6"/>
    <w:rsid w:val="0085563D"/>
    <w:rsid w:val="00872AB9"/>
    <w:rsid w:val="00873D03"/>
    <w:rsid w:val="008824D1"/>
    <w:rsid w:val="00883387"/>
    <w:rsid w:val="008A0719"/>
    <w:rsid w:val="008A177E"/>
    <w:rsid w:val="008A3C0A"/>
    <w:rsid w:val="008A5BB5"/>
    <w:rsid w:val="008A5BC6"/>
    <w:rsid w:val="008B436F"/>
    <w:rsid w:val="008B6206"/>
    <w:rsid w:val="008D105C"/>
    <w:rsid w:val="008D32EF"/>
    <w:rsid w:val="008D4565"/>
    <w:rsid w:val="008E1F6A"/>
    <w:rsid w:val="008E62E5"/>
    <w:rsid w:val="008E7F12"/>
    <w:rsid w:val="008F48AF"/>
    <w:rsid w:val="008F5A4C"/>
    <w:rsid w:val="008F6BA6"/>
    <w:rsid w:val="00912068"/>
    <w:rsid w:val="00914318"/>
    <w:rsid w:val="0091763E"/>
    <w:rsid w:val="009209D9"/>
    <w:rsid w:val="0092196E"/>
    <w:rsid w:val="00924110"/>
    <w:rsid w:val="00924353"/>
    <w:rsid w:val="00942772"/>
    <w:rsid w:val="00943C57"/>
    <w:rsid w:val="00946A70"/>
    <w:rsid w:val="009523DD"/>
    <w:rsid w:val="00954499"/>
    <w:rsid w:val="00960A02"/>
    <w:rsid w:val="009745CA"/>
    <w:rsid w:val="00985AE0"/>
    <w:rsid w:val="0099429E"/>
    <w:rsid w:val="009A1DAB"/>
    <w:rsid w:val="009B4CB9"/>
    <w:rsid w:val="009B670F"/>
    <w:rsid w:val="009B7ADE"/>
    <w:rsid w:val="009C391D"/>
    <w:rsid w:val="009C58F0"/>
    <w:rsid w:val="009C6362"/>
    <w:rsid w:val="009E17A3"/>
    <w:rsid w:val="009F4BC2"/>
    <w:rsid w:val="00A00617"/>
    <w:rsid w:val="00A02825"/>
    <w:rsid w:val="00A212E0"/>
    <w:rsid w:val="00A223F0"/>
    <w:rsid w:val="00A27C0E"/>
    <w:rsid w:val="00A340C6"/>
    <w:rsid w:val="00A36346"/>
    <w:rsid w:val="00A3699C"/>
    <w:rsid w:val="00A740CE"/>
    <w:rsid w:val="00A77202"/>
    <w:rsid w:val="00A837D6"/>
    <w:rsid w:val="00A90EB5"/>
    <w:rsid w:val="00A94987"/>
    <w:rsid w:val="00AA77EF"/>
    <w:rsid w:val="00AC22D6"/>
    <w:rsid w:val="00AC33AD"/>
    <w:rsid w:val="00AC58A2"/>
    <w:rsid w:val="00AE0023"/>
    <w:rsid w:val="00AF1D3B"/>
    <w:rsid w:val="00AF1DEA"/>
    <w:rsid w:val="00AF6ABF"/>
    <w:rsid w:val="00B0783D"/>
    <w:rsid w:val="00B25A07"/>
    <w:rsid w:val="00B267C4"/>
    <w:rsid w:val="00B31E48"/>
    <w:rsid w:val="00B33207"/>
    <w:rsid w:val="00B448EF"/>
    <w:rsid w:val="00B5110C"/>
    <w:rsid w:val="00B60AD9"/>
    <w:rsid w:val="00B6143D"/>
    <w:rsid w:val="00B62307"/>
    <w:rsid w:val="00B64477"/>
    <w:rsid w:val="00B777DE"/>
    <w:rsid w:val="00B8134D"/>
    <w:rsid w:val="00B875C0"/>
    <w:rsid w:val="00BA11C7"/>
    <w:rsid w:val="00BA7BE6"/>
    <w:rsid w:val="00BB256C"/>
    <w:rsid w:val="00BB2B08"/>
    <w:rsid w:val="00BB472F"/>
    <w:rsid w:val="00BB60F9"/>
    <w:rsid w:val="00BC0D8A"/>
    <w:rsid w:val="00BC4999"/>
    <w:rsid w:val="00BE46B9"/>
    <w:rsid w:val="00BE6AA5"/>
    <w:rsid w:val="00BF3CBF"/>
    <w:rsid w:val="00C04549"/>
    <w:rsid w:val="00C07166"/>
    <w:rsid w:val="00C10D70"/>
    <w:rsid w:val="00C12FBC"/>
    <w:rsid w:val="00C13D35"/>
    <w:rsid w:val="00C148DD"/>
    <w:rsid w:val="00C32248"/>
    <w:rsid w:val="00C32B45"/>
    <w:rsid w:val="00C43BA9"/>
    <w:rsid w:val="00C43F88"/>
    <w:rsid w:val="00C50DA4"/>
    <w:rsid w:val="00C55B71"/>
    <w:rsid w:val="00C66DC2"/>
    <w:rsid w:val="00C66FFE"/>
    <w:rsid w:val="00C73562"/>
    <w:rsid w:val="00C74F1A"/>
    <w:rsid w:val="00C87881"/>
    <w:rsid w:val="00C91CAE"/>
    <w:rsid w:val="00C927F8"/>
    <w:rsid w:val="00CA0C2D"/>
    <w:rsid w:val="00CA1587"/>
    <w:rsid w:val="00CB0F66"/>
    <w:rsid w:val="00CB183B"/>
    <w:rsid w:val="00CB3B54"/>
    <w:rsid w:val="00CB4715"/>
    <w:rsid w:val="00CB6035"/>
    <w:rsid w:val="00CB7155"/>
    <w:rsid w:val="00CB7800"/>
    <w:rsid w:val="00CD0C11"/>
    <w:rsid w:val="00CE6440"/>
    <w:rsid w:val="00CE6759"/>
    <w:rsid w:val="00CE6BF0"/>
    <w:rsid w:val="00CF16FB"/>
    <w:rsid w:val="00CF3136"/>
    <w:rsid w:val="00CF6356"/>
    <w:rsid w:val="00D04CA1"/>
    <w:rsid w:val="00D07879"/>
    <w:rsid w:val="00D133DA"/>
    <w:rsid w:val="00D145CC"/>
    <w:rsid w:val="00D22AE1"/>
    <w:rsid w:val="00D36CBE"/>
    <w:rsid w:val="00D56D19"/>
    <w:rsid w:val="00D65F89"/>
    <w:rsid w:val="00D7769F"/>
    <w:rsid w:val="00D81463"/>
    <w:rsid w:val="00D81501"/>
    <w:rsid w:val="00D8667D"/>
    <w:rsid w:val="00DA17AB"/>
    <w:rsid w:val="00DA36D1"/>
    <w:rsid w:val="00DB3B5B"/>
    <w:rsid w:val="00DB7352"/>
    <w:rsid w:val="00DC44BB"/>
    <w:rsid w:val="00DC4B41"/>
    <w:rsid w:val="00DC6E83"/>
    <w:rsid w:val="00DD3F17"/>
    <w:rsid w:val="00DD7636"/>
    <w:rsid w:val="00DE0864"/>
    <w:rsid w:val="00DF55FE"/>
    <w:rsid w:val="00E00878"/>
    <w:rsid w:val="00E0105F"/>
    <w:rsid w:val="00E06683"/>
    <w:rsid w:val="00E10969"/>
    <w:rsid w:val="00E24632"/>
    <w:rsid w:val="00E25061"/>
    <w:rsid w:val="00E36D48"/>
    <w:rsid w:val="00E37DA2"/>
    <w:rsid w:val="00E443C8"/>
    <w:rsid w:val="00E444F5"/>
    <w:rsid w:val="00E50142"/>
    <w:rsid w:val="00E51290"/>
    <w:rsid w:val="00E628C6"/>
    <w:rsid w:val="00E654AB"/>
    <w:rsid w:val="00E72261"/>
    <w:rsid w:val="00E80D85"/>
    <w:rsid w:val="00E90FCF"/>
    <w:rsid w:val="00E94D55"/>
    <w:rsid w:val="00EA0DCB"/>
    <w:rsid w:val="00EB0826"/>
    <w:rsid w:val="00EB5815"/>
    <w:rsid w:val="00EC1D7B"/>
    <w:rsid w:val="00EC52A8"/>
    <w:rsid w:val="00EE4040"/>
    <w:rsid w:val="00F00988"/>
    <w:rsid w:val="00F14CB3"/>
    <w:rsid w:val="00F2698F"/>
    <w:rsid w:val="00F32D44"/>
    <w:rsid w:val="00F33726"/>
    <w:rsid w:val="00F359F6"/>
    <w:rsid w:val="00F43A5A"/>
    <w:rsid w:val="00F444F0"/>
    <w:rsid w:val="00F46245"/>
    <w:rsid w:val="00F70672"/>
    <w:rsid w:val="00F70B05"/>
    <w:rsid w:val="00F7445D"/>
    <w:rsid w:val="00F77789"/>
    <w:rsid w:val="00F858B3"/>
    <w:rsid w:val="00F907A4"/>
    <w:rsid w:val="00F97E90"/>
    <w:rsid w:val="00FA030B"/>
    <w:rsid w:val="00FA23EC"/>
    <w:rsid w:val="00FC3E63"/>
    <w:rsid w:val="00FF2F97"/>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6E88F"/>
  <w15:docId w15:val="{8076D433-E029-41AC-BD4A-F75BBF73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06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8EF"/>
    <w:pPr>
      <w:ind w:left="720"/>
      <w:contextualSpacing/>
    </w:pPr>
  </w:style>
  <w:style w:type="paragraph" w:styleId="ListBullet">
    <w:name w:val="List Bullet"/>
    <w:basedOn w:val="Normal"/>
    <w:uiPriority w:val="99"/>
    <w:unhideWhenUsed/>
    <w:rsid w:val="00AC58A2"/>
    <w:pPr>
      <w:numPr>
        <w:numId w:val="2"/>
      </w:numPr>
      <w:contextualSpacing/>
    </w:pPr>
  </w:style>
  <w:style w:type="character" w:customStyle="1" w:styleId="Heading1Char">
    <w:name w:val="Heading 1 Char"/>
    <w:basedOn w:val="DefaultParagraphFont"/>
    <w:link w:val="Heading1"/>
    <w:uiPriority w:val="9"/>
    <w:rsid w:val="00C148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061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32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7C"/>
  </w:style>
  <w:style w:type="paragraph" w:styleId="Footer">
    <w:name w:val="footer"/>
    <w:basedOn w:val="Normal"/>
    <w:link w:val="FooterChar"/>
    <w:uiPriority w:val="99"/>
    <w:unhideWhenUsed/>
    <w:rsid w:val="00832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7C"/>
  </w:style>
  <w:style w:type="paragraph" w:styleId="BalloonText">
    <w:name w:val="Balloon Text"/>
    <w:basedOn w:val="Normal"/>
    <w:link w:val="BalloonTextChar"/>
    <w:uiPriority w:val="99"/>
    <w:semiHidden/>
    <w:unhideWhenUsed/>
    <w:rsid w:val="00FA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EC"/>
    <w:rPr>
      <w:rFonts w:ascii="Segoe UI" w:hAnsi="Segoe UI" w:cs="Segoe UI"/>
      <w:sz w:val="18"/>
      <w:szCs w:val="18"/>
    </w:rPr>
  </w:style>
  <w:style w:type="table" w:styleId="TableGrid">
    <w:name w:val="Table Grid"/>
    <w:basedOn w:val="TableNormal"/>
    <w:uiPriority w:val="39"/>
    <w:rsid w:val="0047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7A4"/>
    <w:rPr>
      <w:color w:val="0563C1" w:themeColor="hyperlink"/>
      <w:u w:val="single"/>
    </w:rPr>
  </w:style>
  <w:style w:type="character" w:styleId="UnresolvedMention">
    <w:name w:val="Unresolved Mention"/>
    <w:basedOn w:val="DefaultParagraphFont"/>
    <w:uiPriority w:val="99"/>
    <w:semiHidden/>
    <w:unhideWhenUsed/>
    <w:rsid w:val="00F90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97422">
      <w:bodyDiv w:val="1"/>
      <w:marLeft w:val="0"/>
      <w:marRight w:val="0"/>
      <w:marTop w:val="0"/>
      <w:marBottom w:val="0"/>
      <w:divBdr>
        <w:top w:val="none" w:sz="0" w:space="0" w:color="auto"/>
        <w:left w:val="none" w:sz="0" w:space="0" w:color="auto"/>
        <w:bottom w:val="none" w:sz="0" w:space="0" w:color="auto"/>
        <w:right w:val="none" w:sz="0" w:space="0" w:color="auto"/>
      </w:divBdr>
    </w:div>
    <w:div w:id="18122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asp2040.com/public-outrea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asp2040.com/economic-impact-study/"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81a52b0-d0f4-44f0-98bb-0d102f5fd161"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33CD5F7605EF7E4D82A6466E38CC60DA" ma:contentTypeVersion="16" ma:contentTypeDescription="Create a new document." ma:contentTypeScope="" ma:versionID="c6025546e65faac5314b4bc165f09794">
  <xsd:schema xmlns:xsd="http://www.w3.org/2001/XMLSchema" xmlns:xs="http://www.w3.org/2001/XMLSchema" xmlns:p="http://schemas.microsoft.com/office/2006/metadata/properties" xmlns:ns3="c18e8617-fc0f-4dda-a87a-c0ec120ddf92" xmlns:ns4="52860726-b653-4eba-8fc1-cfbf91000526" xmlns:ns5="b2e1dacc-c954-4408-aa44-64ef90b7ce3a" targetNamespace="http://schemas.microsoft.com/office/2006/metadata/properties" ma:root="true" ma:fieldsID="126a7d4b32c21352fb4531d3ce4c6505" ns3:_="" ns4:_="" ns5:_="">
    <xsd:import namespace="c18e8617-fc0f-4dda-a87a-c0ec120ddf92"/>
    <xsd:import namespace="52860726-b653-4eba-8fc1-cfbf91000526"/>
    <xsd:import namespace="b2e1dacc-c954-4408-aa44-64ef90b7ce3a"/>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860726-b653-4eba-8fc1-cfbf910005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1dacc-c954-4408-aa44-64ef90b7ce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44560-C27C-4565-A917-AC400D705C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F5CD4-F032-4F54-8109-649070953B10}">
  <ds:schemaRefs>
    <ds:schemaRef ds:uri="http://schemas.microsoft.com/sharepoint/v3/contenttype/forms"/>
  </ds:schemaRefs>
</ds:datastoreItem>
</file>

<file path=customXml/itemProps3.xml><?xml version="1.0" encoding="utf-8"?>
<ds:datastoreItem xmlns:ds="http://schemas.openxmlformats.org/officeDocument/2006/customXml" ds:itemID="{FC018834-E2EC-4B2E-AE64-0AEF4E2DE5DD}">
  <ds:schemaRefs>
    <ds:schemaRef ds:uri="http://schemas.microsoft.com/sharepoint/events"/>
  </ds:schemaRefs>
</ds:datastoreItem>
</file>

<file path=customXml/itemProps4.xml><?xml version="1.0" encoding="utf-8"?>
<ds:datastoreItem xmlns:ds="http://schemas.openxmlformats.org/officeDocument/2006/customXml" ds:itemID="{1D5C0B69-357D-4F31-BBFC-29ACDBAA62F9}">
  <ds:schemaRefs>
    <ds:schemaRef ds:uri="Microsoft.SharePoint.Taxonomy.ContentTypeSync"/>
  </ds:schemaRefs>
</ds:datastoreItem>
</file>

<file path=customXml/itemProps5.xml><?xml version="1.0" encoding="utf-8"?>
<ds:datastoreItem xmlns:ds="http://schemas.openxmlformats.org/officeDocument/2006/customXml" ds:itemID="{898A0D20-085E-4E9B-8517-ADF8AF62228C}">
  <ds:schemaRefs>
    <ds:schemaRef ds:uri="http://schemas.openxmlformats.org/officeDocument/2006/bibliography"/>
  </ds:schemaRefs>
</ds:datastoreItem>
</file>

<file path=customXml/itemProps6.xml><?xml version="1.0" encoding="utf-8"?>
<ds:datastoreItem xmlns:ds="http://schemas.openxmlformats.org/officeDocument/2006/customXml" ds:itemID="{0464E0EF-546E-4C7C-911C-B7932E1D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52860726-b653-4eba-8fc1-cfbf91000526"/>
    <ds:schemaRef ds:uri="b2e1dacc-c954-4408-aa44-64ef90b7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John</dc:creator>
  <cp:lastModifiedBy>Filaroski, Taylor</cp:lastModifiedBy>
  <cp:revision>66</cp:revision>
  <cp:lastPrinted>2019-09-04T14:41:00Z</cp:lastPrinted>
  <dcterms:created xsi:type="dcterms:W3CDTF">2021-03-26T19:17:00Z</dcterms:created>
  <dcterms:modified xsi:type="dcterms:W3CDTF">2021-03-26T20:21:00Z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0x01010033CD5F7605EF7E4D82A6466E38CC60DA</vt:lpwstr>
  </property>
</Properties>
</file>